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2A28D" w14:textId="77777777" w:rsidR="0063023F" w:rsidRDefault="0063023F"/>
    <w:p w14:paraId="55F2C6AD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DBCB150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AEB3B6E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D53BDFC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0AC29E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7D0C6C8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F66B926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2D9E67C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C6BEA4E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3088235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8781D39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305D1D3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14F5562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B8B6040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CF85450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14:paraId="1DC74B78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14:paraId="01A6FC3C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14:paraId="7E2741C4" w14:textId="06BF56CC" w:rsidR="0063023F" w:rsidRPr="003105B0" w:rsidRDefault="008F30E4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8F30E4">
        <w:rPr>
          <w:rFonts w:cs="Calibri"/>
          <w:bCs/>
          <w:sz w:val="48"/>
          <w:szCs w:val="48"/>
        </w:rPr>
        <w:t>Roboty murowe</w:t>
      </w:r>
    </w:p>
    <w:p w14:paraId="4312F058" w14:textId="556A22F8" w:rsidR="0063023F" w:rsidRPr="003105B0" w:rsidRDefault="008F30E4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8F30E4">
        <w:rPr>
          <w:rFonts w:cs="Calibri"/>
          <w:bCs/>
          <w:sz w:val="48"/>
          <w:szCs w:val="48"/>
        </w:rPr>
        <w:t>B.04.00.00</w:t>
      </w:r>
    </w:p>
    <w:p w14:paraId="489B33D0" w14:textId="77777777" w:rsidR="0063023F" w:rsidRPr="003105B0" w:rsidRDefault="0063023F" w:rsidP="00ED6934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14:paraId="051F9639" w14:textId="77777777" w:rsidR="0063023F" w:rsidRPr="003105B0" w:rsidRDefault="0063023F" w:rsidP="00ED6934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14:paraId="27D2AC26" w14:textId="4274B2F9" w:rsidR="0063023F" w:rsidRDefault="00A770F7" w:rsidP="0063023F">
      <w:pPr>
        <w:spacing w:after="0"/>
        <w:jc w:val="both"/>
        <w:rPr>
          <w:rFonts w:cs="Calibri"/>
          <w:bCs/>
        </w:rPr>
      </w:pPr>
      <w:r w:rsidRPr="00A770F7">
        <w:rPr>
          <w:rFonts w:cs="Calibri"/>
          <w:bCs/>
        </w:rPr>
        <w:t xml:space="preserve">Niniejszy tom specyfikacji obejmuje wymagania wykonania i odbioru robót </w:t>
      </w:r>
      <w:r w:rsidR="005F1CAB">
        <w:rPr>
          <w:rFonts w:cs="Calibri"/>
          <w:bCs/>
        </w:rPr>
        <w:t>murowych</w:t>
      </w:r>
      <w:r w:rsidRPr="00A770F7">
        <w:rPr>
          <w:rFonts w:cs="Calibri"/>
          <w:bCs/>
        </w:rPr>
        <w:t xml:space="preserve"> dla inwestycji </w:t>
      </w:r>
      <w:r w:rsidR="000600FC" w:rsidRPr="000600FC">
        <w:rPr>
          <w:rFonts w:cs="Calibri"/>
          <w:bCs/>
        </w:rPr>
        <w:t>Dostosowanie budynku przy ul. Zamkowej 6 w Pabianicach do potrzeb osób z niepełnosprawnościami</w:t>
      </w:r>
      <w:r w:rsidRPr="00A770F7">
        <w:rPr>
          <w:rFonts w:cs="Calibri"/>
          <w:bCs/>
        </w:rPr>
        <w:t>.</w:t>
      </w:r>
    </w:p>
    <w:p w14:paraId="5823046C" w14:textId="77777777" w:rsidR="0063023F" w:rsidRPr="00020570" w:rsidRDefault="0063023F" w:rsidP="00020570">
      <w:pPr>
        <w:spacing w:after="0"/>
        <w:jc w:val="both"/>
        <w:rPr>
          <w:rFonts w:cs="Calibri"/>
          <w:b/>
          <w:bCs/>
        </w:rPr>
      </w:pPr>
      <w:r w:rsidRPr="00020570">
        <w:rPr>
          <w:rFonts w:cs="Calibri"/>
          <w:b/>
          <w:bCs/>
        </w:rPr>
        <w:t>Klasyfikacja robót wg Wspólnego Słownika Zamówień (CPV).</w:t>
      </w:r>
    </w:p>
    <w:p w14:paraId="526D7C2C" w14:textId="77777777" w:rsidR="007C29B6" w:rsidRDefault="00A45CE5" w:rsidP="007C29B6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45262500-6</w:t>
      </w:r>
      <w:r w:rsidR="007C29B6" w:rsidRPr="007C29B6">
        <w:rPr>
          <w:rFonts w:cs="Calibri"/>
          <w:bCs/>
        </w:rPr>
        <w:t xml:space="preserve"> Roboty </w:t>
      </w:r>
      <w:r>
        <w:rPr>
          <w:rFonts w:cs="Calibri"/>
          <w:bCs/>
        </w:rPr>
        <w:t>murarskie i murowe</w:t>
      </w:r>
    </w:p>
    <w:p w14:paraId="4D419520" w14:textId="77777777" w:rsidR="00020570" w:rsidRDefault="00020570" w:rsidP="00ED6934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14:paraId="6802D11A" w14:textId="77777777" w:rsidR="00020570" w:rsidRDefault="00020570" w:rsidP="00020570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>Szczegółowa specyfikacja techniczna jest stosowana  jako dokument pod Zamówienie Publiczne przy zlecaniu i realizacji robót wymienionych w pkt. 1.1.</w:t>
      </w:r>
    </w:p>
    <w:p w14:paraId="4F1CC28A" w14:textId="77777777" w:rsidR="00020570" w:rsidRDefault="00020570" w:rsidP="00ED6934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Określenia podstawowe</w:t>
      </w:r>
    </w:p>
    <w:p w14:paraId="1D5FF7C9" w14:textId="77777777" w:rsidR="00A45CE5" w:rsidRPr="00A45CE5" w:rsidRDefault="00A45CE5" w:rsidP="00A45CE5">
      <w:pPr>
        <w:spacing w:after="0"/>
        <w:jc w:val="both"/>
        <w:rPr>
          <w:rFonts w:cs="Calibri"/>
          <w:bCs/>
        </w:rPr>
      </w:pPr>
      <w:r w:rsidRPr="00A45CE5">
        <w:rPr>
          <w:rFonts w:cs="Calibri"/>
          <w:bCs/>
        </w:rPr>
        <w:t xml:space="preserve">Cegła ceramiczna pełna – cegła pełna wypalana z gliny zwykła wg PN-75/B-12001, cegła wypalana z gliny klinkierowa wg PN-71/B-12008 </w:t>
      </w:r>
    </w:p>
    <w:p w14:paraId="05B190B9" w14:textId="77777777" w:rsidR="00A45CE5" w:rsidRPr="00A45CE5" w:rsidRDefault="00A45CE5" w:rsidP="00A45CE5">
      <w:pPr>
        <w:spacing w:after="0"/>
        <w:jc w:val="both"/>
        <w:rPr>
          <w:rFonts w:cs="Calibri"/>
          <w:bCs/>
        </w:rPr>
      </w:pPr>
      <w:r w:rsidRPr="00A45CE5">
        <w:rPr>
          <w:rFonts w:cs="Calibri"/>
          <w:bCs/>
        </w:rPr>
        <w:t xml:space="preserve">Marka zaprawy – symbol liczbowy odpowiadający wartości średniej na ściskanie, w </w:t>
      </w:r>
      <w:proofErr w:type="spellStart"/>
      <w:r w:rsidRPr="00A45CE5">
        <w:rPr>
          <w:rFonts w:cs="Calibri"/>
          <w:bCs/>
        </w:rPr>
        <w:t>MPa</w:t>
      </w:r>
      <w:proofErr w:type="spellEnd"/>
      <w:r w:rsidRPr="00A45CE5">
        <w:rPr>
          <w:rFonts w:cs="Calibri"/>
          <w:bCs/>
        </w:rPr>
        <w:t xml:space="preserve">, wg obowiązujących norm przedmiotowych, </w:t>
      </w:r>
    </w:p>
    <w:p w14:paraId="0809AD40" w14:textId="77777777" w:rsidR="00A45CE5" w:rsidRPr="00A45CE5" w:rsidRDefault="00A45CE5" w:rsidP="00A45CE5">
      <w:pPr>
        <w:spacing w:after="0"/>
        <w:jc w:val="both"/>
        <w:rPr>
          <w:rFonts w:cs="Calibri"/>
          <w:bCs/>
        </w:rPr>
      </w:pPr>
      <w:r w:rsidRPr="00A45CE5">
        <w:rPr>
          <w:rFonts w:cs="Calibri"/>
          <w:bCs/>
        </w:rPr>
        <w:t xml:space="preserve">Mur – konstrukcja murowa nie zbrojona lub zbrojona poprzecznie, </w:t>
      </w:r>
    </w:p>
    <w:p w14:paraId="764831E2" w14:textId="77777777" w:rsidR="00A45CE5" w:rsidRPr="00A45CE5" w:rsidRDefault="00A45CE5" w:rsidP="00A45CE5">
      <w:pPr>
        <w:spacing w:after="0"/>
        <w:jc w:val="both"/>
        <w:rPr>
          <w:rFonts w:cs="Calibri"/>
          <w:bCs/>
        </w:rPr>
      </w:pPr>
      <w:r w:rsidRPr="00A45CE5">
        <w:rPr>
          <w:rFonts w:cs="Calibri"/>
          <w:bCs/>
        </w:rPr>
        <w:t xml:space="preserve">Element murowy – element przeznaczony do ręcznego układania przy wykonywaniu konstrukcji murowych, </w:t>
      </w:r>
    </w:p>
    <w:p w14:paraId="4AAEAFCD" w14:textId="77777777" w:rsidR="00A45CE5" w:rsidRPr="00A45CE5" w:rsidRDefault="00A45CE5" w:rsidP="00A45CE5">
      <w:pPr>
        <w:spacing w:after="0"/>
        <w:jc w:val="both"/>
        <w:rPr>
          <w:rFonts w:cs="Calibri"/>
          <w:bCs/>
        </w:rPr>
      </w:pPr>
      <w:r w:rsidRPr="00A45CE5">
        <w:rPr>
          <w:rFonts w:cs="Calibri"/>
          <w:bCs/>
        </w:rPr>
        <w:t>Konstrukcja murowa nie zbrojona – konstrukcja wykonana z elementów murowych łączonych przy u</w:t>
      </w:r>
      <w:r>
        <w:rPr>
          <w:rFonts w:cs="Calibri"/>
          <w:bCs/>
        </w:rPr>
        <w:t>ż</w:t>
      </w:r>
      <w:r w:rsidRPr="00A45CE5">
        <w:rPr>
          <w:rFonts w:cs="Calibri"/>
          <w:bCs/>
        </w:rPr>
        <w:t xml:space="preserve">yciu zapraw budowlanych, </w:t>
      </w:r>
    </w:p>
    <w:p w14:paraId="2A9B1953" w14:textId="77777777" w:rsidR="00A45CE5" w:rsidRPr="00A45CE5" w:rsidRDefault="00A45CE5" w:rsidP="00A45CE5">
      <w:pPr>
        <w:spacing w:after="0"/>
        <w:jc w:val="both"/>
        <w:rPr>
          <w:rFonts w:cs="Calibri"/>
          <w:bCs/>
        </w:rPr>
      </w:pPr>
      <w:r w:rsidRPr="00A45CE5">
        <w:rPr>
          <w:rFonts w:cs="Calibri"/>
          <w:bCs/>
        </w:rPr>
        <w:t xml:space="preserve">Konstrukcja murowa zbrojona poprzecznie – konstrukcja wykonana z elementów murowych </w:t>
      </w:r>
      <w:r>
        <w:rPr>
          <w:rFonts w:cs="Calibri"/>
          <w:bCs/>
        </w:rPr>
        <w:t>łączonych przy uż</w:t>
      </w:r>
      <w:r w:rsidRPr="00A45CE5">
        <w:rPr>
          <w:rFonts w:cs="Calibri"/>
          <w:bCs/>
        </w:rPr>
        <w:t xml:space="preserve">yciu zapraw budowlanych, zawierająca zbrojenie poprzeczne umieszczone w poziomych spoinach wspornych, </w:t>
      </w:r>
    </w:p>
    <w:p w14:paraId="1B27546E" w14:textId="77777777" w:rsidR="00A45CE5" w:rsidRPr="00A45CE5" w:rsidRDefault="00A45CE5" w:rsidP="00A45CE5">
      <w:pPr>
        <w:spacing w:after="0"/>
        <w:jc w:val="both"/>
        <w:rPr>
          <w:rFonts w:cs="Calibri"/>
          <w:bCs/>
        </w:rPr>
      </w:pPr>
      <w:r w:rsidRPr="00A45CE5">
        <w:rPr>
          <w:rFonts w:cs="Calibri"/>
          <w:bCs/>
        </w:rPr>
        <w:t xml:space="preserve">Ścianka działowa – przegroda w budynku, konstrukcja  której nie jest przystosowana do przenoszenia obciążeń ze stropów wyższych kondygnacji, </w:t>
      </w:r>
    </w:p>
    <w:p w14:paraId="4EDEBA2E" w14:textId="77777777" w:rsidR="007C29B6" w:rsidRDefault="00A45CE5" w:rsidP="00A45CE5">
      <w:pPr>
        <w:spacing w:after="0"/>
        <w:jc w:val="both"/>
        <w:rPr>
          <w:rFonts w:cs="Calibri"/>
          <w:bCs/>
        </w:rPr>
      </w:pPr>
      <w:r w:rsidRPr="00A45CE5">
        <w:rPr>
          <w:rFonts w:cs="Calibri"/>
          <w:bCs/>
        </w:rPr>
        <w:t>Ściana – konstrukcja pionowa, zwykle ceglana lub betonowa, która ogranicza lub dzieli obiekty budowlane i przenosi obciążenia.</w:t>
      </w:r>
    </w:p>
    <w:p w14:paraId="519955B8" w14:textId="77777777" w:rsidR="00020570" w:rsidRPr="004E6231" w:rsidRDefault="00020570" w:rsidP="00ED6934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4E6231">
        <w:rPr>
          <w:rFonts w:cs="Calibri"/>
          <w:b/>
          <w:bCs/>
        </w:rPr>
        <w:t>Zakres robót objętych specyfikacją</w:t>
      </w:r>
    </w:p>
    <w:p w14:paraId="027A59FA" w14:textId="5AA6CD52" w:rsidR="00020570" w:rsidRDefault="00020570" w:rsidP="00A45CE5">
      <w:pPr>
        <w:spacing w:after="0"/>
        <w:jc w:val="both"/>
        <w:rPr>
          <w:rFonts w:cs="Calibri"/>
          <w:bCs/>
        </w:rPr>
      </w:pPr>
      <w:r w:rsidRPr="00020570">
        <w:rPr>
          <w:rFonts w:cs="Calibri"/>
          <w:bCs/>
        </w:rPr>
        <w:t xml:space="preserve">Ustalenia zawarte w niniejszej szczegółowej specyfikacji technicznej dotyczą zasad </w:t>
      </w:r>
      <w:r>
        <w:rPr>
          <w:rFonts w:cs="Calibri"/>
          <w:bCs/>
        </w:rPr>
        <w:t>prowadzenia robót murarskich, w szczególności</w:t>
      </w:r>
      <w:r w:rsidRPr="00020570">
        <w:rPr>
          <w:rFonts w:cs="Calibri"/>
          <w:bCs/>
        </w:rPr>
        <w:t>:</w:t>
      </w:r>
    </w:p>
    <w:p w14:paraId="6D4C61EF" w14:textId="4BC00758" w:rsidR="008F30E4" w:rsidRDefault="008F30E4" w:rsidP="008F30E4">
      <w:pPr>
        <w:spacing w:after="0"/>
        <w:ind w:left="709"/>
        <w:jc w:val="both"/>
        <w:rPr>
          <w:rFonts w:cs="Calibri"/>
          <w:bCs/>
        </w:rPr>
      </w:pPr>
      <w:r w:rsidRPr="008F30E4">
        <w:rPr>
          <w:rFonts w:cs="Calibri"/>
          <w:bCs/>
        </w:rPr>
        <w:t xml:space="preserve">Ściany </w:t>
      </w:r>
      <w:r w:rsidR="00222657">
        <w:rPr>
          <w:rFonts w:cs="Calibri"/>
          <w:bCs/>
        </w:rPr>
        <w:t>z bloków silikatowych</w:t>
      </w:r>
    </w:p>
    <w:p w14:paraId="47524D1B" w14:textId="3D4529FE" w:rsidR="00222657" w:rsidRPr="008F30E4" w:rsidRDefault="00222657" w:rsidP="008F30E4">
      <w:pPr>
        <w:spacing w:after="0"/>
        <w:ind w:left="709"/>
        <w:jc w:val="both"/>
        <w:rPr>
          <w:rFonts w:cs="Calibri"/>
          <w:bCs/>
        </w:rPr>
      </w:pPr>
      <w:r>
        <w:rPr>
          <w:rFonts w:cs="Calibri"/>
          <w:bCs/>
        </w:rPr>
        <w:t>Zamurowania, uzupełnienia ścian istniejących</w:t>
      </w:r>
    </w:p>
    <w:p w14:paraId="4C1FB07C" w14:textId="09DC718C" w:rsidR="008F30E4" w:rsidRDefault="008F30E4" w:rsidP="008F30E4">
      <w:pPr>
        <w:spacing w:after="0"/>
        <w:ind w:left="709"/>
        <w:jc w:val="both"/>
        <w:rPr>
          <w:rFonts w:cs="Calibri"/>
          <w:bCs/>
        </w:rPr>
      </w:pPr>
      <w:r w:rsidRPr="008F30E4">
        <w:rPr>
          <w:rFonts w:cs="Calibri"/>
          <w:bCs/>
        </w:rPr>
        <w:t>Montaż belek nadprożowych</w:t>
      </w:r>
    </w:p>
    <w:p w14:paraId="18E2945A" w14:textId="77777777" w:rsidR="005276AC" w:rsidRPr="005276AC" w:rsidRDefault="005276AC" w:rsidP="00ED6934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5276AC">
        <w:rPr>
          <w:rFonts w:cs="Calibri"/>
          <w:b/>
          <w:bCs/>
        </w:rPr>
        <w:t>Ogólne wymagania dotyczące robót.</w:t>
      </w:r>
    </w:p>
    <w:p w14:paraId="4761F046" w14:textId="77777777" w:rsidR="00020570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Wykonawca robót jest odpowiedzialny za jakość ich wykonania oraz za zgodność z</w:t>
      </w:r>
      <w:r>
        <w:rPr>
          <w:rFonts w:cs="Calibri"/>
          <w:bCs/>
        </w:rPr>
        <w:t xml:space="preserve"> </w:t>
      </w:r>
      <w:r w:rsidRPr="005276AC">
        <w:rPr>
          <w:rFonts w:cs="Calibri"/>
          <w:bCs/>
        </w:rPr>
        <w:t>dokumentacją projektową, SST i poleceniami Inspektora Nadzoru.</w:t>
      </w:r>
    </w:p>
    <w:p w14:paraId="134B9462" w14:textId="77777777" w:rsidR="00020570" w:rsidRDefault="00020570" w:rsidP="00A45CE5">
      <w:pPr>
        <w:spacing w:after="0"/>
        <w:jc w:val="both"/>
        <w:rPr>
          <w:rFonts w:cs="Calibri"/>
          <w:bCs/>
        </w:rPr>
      </w:pPr>
    </w:p>
    <w:p w14:paraId="55883D1B" w14:textId="77777777" w:rsidR="00020570" w:rsidRPr="005276AC" w:rsidRDefault="005276AC" w:rsidP="00ED6934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5276AC">
        <w:rPr>
          <w:rFonts w:cs="Calibri"/>
          <w:b/>
          <w:bCs/>
        </w:rPr>
        <w:t>MATERIAŁY</w:t>
      </w:r>
    </w:p>
    <w:p w14:paraId="11E7F0D8" w14:textId="77777777" w:rsidR="00D86181" w:rsidRDefault="00D86181" w:rsidP="006229E7">
      <w:pPr>
        <w:spacing w:after="0" w:line="240" w:lineRule="auto"/>
        <w:rPr>
          <w:rFonts w:ascii="Trebuchet MS" w:eastAsia="Times New Roman" w:hAnsi="Trebuchet MS"/>
          <w:color w:val="363636"/>
          <w:sz w:val="18"/>
          <w:szCs w:val="18"/>
          <w:lang w:eastAsia="pl-PL"/>
        </w:rPr>
      </w:pPr>
    </w:p>
    <w:p w14:paraId="0A0F53C8" w14:textId="77777777" w:rsidR="005276AC" w:rsidRPr="005276AC" w:rsidRDefault="005276AC" w:rsidP="005276AC">
      <w:pPr>
        <w:spacing w:after="0"/>
        <w:jc w:val="both"/>
        <w:rPr>
          <w:rFonts w:cs="Calibri"/>
          <w:b/>
          <w:bCs/>
        </w:rPr>
      </w:pPr>
      <w:r w:rsidRPr="005276AC">
        <w:rPr>
          <w:rFonts w:cs="Calibri"/>
          <w:b/>
          <w:bCs/>
        </w:rPr>
        <w:t>Zaprawy budowlane cementowo-wapienne</w:t>
      </w:r>
    </w:p>
    <w:p w14:paraId="090DD3CF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Marka i skład zaprawy powinny być zgodne z wymaganiami podanymi w projekcie.</w:t>
      </w:r>
    </w:p>
    <w:p w14:paraId="72836FDB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Orientacyjny stosunek objętościowy składników zaprawy dla marki 30:</w:t>
      </w:r>
    </w:p>
    <w:p w14:paraId="37672596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cement: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ciasto wapienne: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piasek</w:t>
      </w:r>
    </w:p>
    <w:p w14:paraId="0B19BD3E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1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1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 xml:space="preserve">   6</w:t>
      </w:r>
    </w:p>
    <w:p w14:paraId="757DAD84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1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1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 xml:space="preserve">   7</w:t>
      </w:r>
    </w:p>
    <w:p w14:paraId="7176916B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lastRenderedPageBreak/>
        <w:t>1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 xml:space="preserve">          1,7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 xml:space="preserve">   5</w:t>
      </w:r>
    </w:p>
    <w:p w14:paraId="6CB5A86F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cement: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wapienne hydratyzowane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piasek</w:t>
      </w:r>
    </w:p>
    <w:p w14:paraId="100BA031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1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1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 xml:space="preserve">   5</w:t>
      </w:r>
    </w:p>
    <w:p w14:paraId="290D20A3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1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1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 xml:space="preserve">   7</w:t>
      </w:r>
    </w:p>
    <w:p w14:paraId="77A9E6D3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Orientacyjny stosunek objętościowy składników zaprawy dla marki 50:</w:t>
      </w:r>
    </w:p>
    <w:p w14:paraId="4C093625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cement: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ciasto wapienne: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piasek</w:t>
      </w:r>
    </w:p>
    <w:p w14:paraId="186F0F46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1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0,3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 xml:space="preserve">   4</w:t>
      </w:r>
    </w:p>
    <w:p w14:paraId="77A99E22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1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0,5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 xml:space="preserve">   4,5</w:t>
      </w:r>
    </w:p>
    <w:p w14:paraId="412476E9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cement: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wapienne hydratyzowane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piasek</w:t>
      </w:r>
    </w:p>
    <w:p w14:paraId="2EF2AC86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1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0,3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 xml:space="preserve">   4</w:t>
      </w:r>
    </w:p>
    <w:p w14:paraId="2ED16F64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1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0,5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>:</w:t>
      </w:r>
      <w:r w:rsidRPr="005276AC">
        <w:rPr>
          <w:rFonts w:cs="Calibri"/>
          <w:bCs/>
        </w:rPr>
        <w:tab/>
      </w:r>
      <w:r w:rsidRPr="005276AC">
        <w:rPr>
          <w:rFonts w:cs="Calibri"/>
          <w:bCs/>
        </w:rPr>
        <w:tab/>
        <w:t xml:space="preserve">   4,5</w:t>
      </w:r>
    </w:p>
    <w:p w14:paraId="33AB1995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-  Przygotowanie zapraw do robót murowych powinno być wykonywane mechanicznie.</w:t>
      </w:r>
    </w:p>
    <w:p w14:paraId="46014331" w14:textId="77777777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-  Zaprawę należy przygotować w takiej ilości, aby mogła być wbudowana możliwie wcześnie po jej przygotowaniu tj. ok. 3 godzin.</w:t>
      </w:r>
    </w:p>
    <w:p w14:paraId="397B9561" w14:textId="1B6476DF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Do zapraw murarskich należy stosować piasek rzeczny lub kopalniany. Do zapraw cementowo-wapiennych należy stosować cement portlandzki z dodatkiem żużla lub popiołów lotnych 25 i 35 oraz cement hutniczy 25 pod warunkiem, że temperatura otoczenia w ciągu 7 dni od chwili zużycia zaprawy nie będzie niższa niż+</w:t>
      </w:r>
      <w:smartTag w:uri="urn:schemas-microsoft-com:office:smarttags" w:element="metricconverter">
        <w:smartTagPr>
          <w:attr w:name="ProductID" w:val="5ﾰC"/>
        </w:smartTagPr>
        <w:r w:rsidRPr="005276AC">
          <w:rPr>
            <w:rFonts w:cs="Calibri"/>
            <w:bCs/>
          </w:rPr>
          <w:t>5°C</w:t>
        </w:r>
      </w:smartTag>
      <w:r w:rsidRPr="005276AC">
        <w:rPr>
          <w:rFonts w:cs="Calibri"/>
          <w:bCs/>
        </w:rPr>
        <w:t xml:space="preserve">. Do zapraw cementowo-wapiennych należy stosować wapno </w:t>
      </w:r>
      <w:proofErr w:type="spellStart"/>
      <w:r w:rsidRPr="005276AC">
        <w:rPr>
          <w:rFonts w:cs="Calibri"/>
          <w:bCs/>
        </w:rPr>
        <w:t>suchogaszone</w:t>
      </w:r>
      <w:proofErr w:type="spellEnd"/>
      <w:r w:rsidRPr="005276AC">
        <w:rPr>
          <w:rFonts w:cs="Calibri"/>
          <w:bCs/>
        </w:rPr>
        <w:t xml:space="preserve"> lub gaszone w postaci ciasta wapiennego otrzymanego z wapna niegaszonego, które powinno tworzyć jednolitą i jednobarwną masę, bez grudek niegaszonego wapna i zanieczyszczeń obcych. Skład objętościowy zapraw należy dobierać doświadczalnie, w zależności od wymaganej marki zaprawy oraz rodzaju cementu i wapna.</w:t>
      </w:r>
    </w:p>
    <w:p w14:paraId="551E7743" w14:textId="77777777" w:rsidR="0021337D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>Zaprawa cementowo wapienna</w:t>
      </w:r>
    </w:p>
    <w:p w14:paraId="0CD23B0E" w14:textId="77777777" w:rsidR="0021337D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 xml:space="preserve">Zaprawa M3 dla ścian o wysokości </w:t>
      </w:r>
      <w:r w:rsidRPr="005276AC">
        <w:rPr>
          <w:rFonts w:cs="Calibri"/>
          <w:bCs/>
        </w:rPr>
        <w:tab/>
        <w:t>&lt; 5m oraz dla ścian obudów szachów</w:t>
      </w:r>
    </w:p>
    <w:p w14:paraId="78304945" w14:textId="61910614" w:rsidR="005276AC" w:rsidRPr="005276AC" w:rsidRDefault="005276AC" w:rsidP="005276AC">
      <w:pPr>
        <w:spacing w:after="0"/>
        <w:jc w:val="both"/>
        <w:rPr>
          <w:rFonts w:cs="Calibri"/>
          <w:bCs/>
        </w:rPr>
      </w:pPr>
      <w:r w:rsidRPr="005276AC">
        <w:rPr>
          <w:rFonts w:cs="Calibri"/>
          <w:bCs/>
        </w:rPr>
        <w:t xml:space="preserve">Zaprawa M5 dla ścian o wysokości </w:t>
      </w:r>
      <w:r w:rsidRPr="005276AC">
        <w:rPr>
          <w:rFonts w:cs="Calibri"/>
          <w:bCs/>
        </w:rPr>
        <w:tab/>
        <w:t>&gt; 5m</w:t>
      </w:r>
    </w:p>
    <w:p w14:paraId="6F77DD51" w14:textId="77777777" w:rsidR="0021337D" w:rsidRPr="0021337D" w:rsidRDefault="0021337D" w:rsidP="0021337D">
      <w:pPr>
        <w:spacing w:after="0"/>
        <w:jc w:val="both"/>
        <w:rPr>
          <w:rFonts w:cs="Calibri"/>
          <w:b/>
          <w:bCs/>
        </w:rPr>
      </w:pPr>
      <w:r w:rsidRPr="0021337D">
        <w:rPr>
          <w:rFonts w:cs="Calibri"/>
          <w:b/>
          <w:bCs/>
        </w:rPr>
        <w:t>Woda zarobowa do betonu PN-EN 1008:2004</w:t>
      </w:r>
    </w:p>
    <w:p w14:paraId="64725300" w14:textId="3DD02D61" w:rsidR="0021337D" w:rsidRPr="0021337D" w:rsidRDefault="0021337D" w:rsidP="0021337D">
      <w:pPr>
        <w:spacing w:after="0"/>
        <w:jc w:val="both"/>
        <w:rPr>
          <w:rFonts w:cs="Calibri"/>
          <w:bCs/>
        </w:rPr>
      </w:pPr>
      <w:r w:rsidRPr="0021337D">
        <w:rPr>
          <w:rFonts w:cs="Calibri"/>
          <w:bCs/>
        </w:rPr>
        <w:t>Do przygotowania zapraw stosować można każdą wodę zdatną do picia, z rzeki lub jeziora.</w:t>
      </w:r>
    </w:p>
    <w:p w14:paraId="10E71A78" w14:textId="3EBC2CD1" w:rsidR="005276AC" w:rsidRDefault="0021337D" w:rsidP="0021337D">
      <w:pPr>
        <w:spacing w:after="0"/>
        <w:jc w:val="both"/>
        <w:rPr>
          <w:rFonts w:cs="Calibri"/>
          <w:bCs/>
        </w:rPr>
      </w:pPr>
      <w:r w:rsidRPr="0021337D">
        <w:rPr>
          <w:rFonts w:cs="Calibri"/>
          <w:bCs/>
        </w:rPr>
        <w:t>Niedozwolone jest użycie wód ściekowych, kanalizacyjnych bagiennych oraz wód</w:t>
      </w:r>
      <w:r>
        <w:rPr>
          <w:rFonts w:cs="Calibri"/>
          <w:bCs/>
        </w:rPr>
        <w:t xml:space="preserve"> </w:t>
      </w:r>
      <w:r w:rsidRPr="0021337D">
        <w:rPr>
          <w:rFonts w:cs="Calibri"/>
          <w:bCs/>
        </w:rPr>
        <w:t>zawierających tłuszcze organiczne, oleje i muł.</w:t>
      </w:r>
    </w:p>
    <w:p w14:paraId="7D23905D" w14:textId="04587321" w:rsidR="00552A95" w:rsidRDefault="00333F52" w:rsidP="00552A95">
      <w:pPr>
        <w:spacing w:after="0"/>
        <w:jc w:val="both"/>
        <w:rPr>
          <w:rFonts w:cs="Calibri"/>
          <w:b/>
        </w:rPr>
      </w:pPr>
      <w:r>
        <w:rPr>
          <w:rFonts w:cs="Calibri"/>
          <w:b/>
        </w:rPr>
        <w:t>Bloki silikatowe</w:t>
      </w:r>
    </w:p>
    <w:p w14:paraId="3A7D45F1" w14:textId="6BE996A4" w:rsidR="00333F52" w:rsidRDefault="00333F52" w:rsidP="00552A95">
      <w:pPr>
        <w:spacing w:after="0"/>
        <w:jc w:val="both"/>
        <w:rPr>
          <w:rFonts w:cs="Calibri"/>
          <w:b/>
        </w:rPr>
      </w:pPr>
      <w:r>
        <w:rPr>
          <w:noProof/>
        </w:rPr>
        <w:drawing>
          <wp:inline distT="0" distB="0" distL="0" distR="0" wp14:anchorId="7B4511C7" wp14:editId="52766F6A">
            <wp:extent cx="2999707" cy="1504483"/>
            <wp:effectExtent l="0" t="0" r="0" b="0"/>
            <wp:docPr id="382070246" name="Obraz 1" descr="Obraz zawierający tekst, zrzut ekranu, Czcionka, numer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070246" name="Obraz 1" descr="Obraz zawierający tekst, zrzut ekranu, Czcionka, numer&#10;&#10;Opis wygenerowany automatyczni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34005" cy="152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06528" behindDoc="0" locked="0" layoutInCell="1" allowOverlap="1" wp14:anchorId="334E4E22" wp14:editId="70C7A6B6">
            <wp:simplePos x="0" y="0"/>
            <wp:positionH relativeFrom="column">
              <wp:posOffset>2540</wp:posOffset>
            </wp:positionH>
            <wp:positionV relativeFrom="paragraph">
              <wp:posOffset>2540</wp:posOffset>
            </wp:positionV>
            <wp:extent cx="2994660" cy="1501775"/>
            <wp:effectExtent l="0" t="0" r="0" b="0"/>
            <wp:wrapSquare wrapText="bothSides"/>
            <wp:docPr id="1908608975" name="Obraz 1" descr="Obraz zawierający tekst, zrzut ekranu, Czcionka, numer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608975" name="Obraz 1" descr="Obraz zawierający tekst, zrzut ekranu, Czcionka, numer&#10;&#10;Opis wygenerowany automatyczni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4660" cy="1501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2AEF54" w14:textId="5A8534C8" w:rsidR="00222657" w:rsidRDefault="00222657" w:rsidP="00552A95">
      <w:pPr>
        <w:spacing w:after="0"/>
        <w:jc w:val="both"/>
        <w:rPr>
          <w:rFonts w:cs="Calibri"/>
          <w:b/>
        </w:rPr>
      </w:pPr>
    </w:p>
    <w:p w14:paraId="5111E5F2" w14:textId="78BF04DC" w:rsidR="00333F52" w:rsidRDefault="00333F52" w:rsidP="00552A95">
      <w:pPr>
        <w:spacing w:after="0"/>
        <w:jc w:val="both"/>
        <w:rPr>
          <w:rFonts w:cs="Calibri"/>
          <w:b/>
        </w:rPr>
      </w:pPr>
    </w:p>
    <w:p w14:paraId="7A248526" w14:textId="201C3022" w:rsidR="00222657" w:rsidRDefault="00222657" w:rsidP="00552A95">
      <w:pPr>
        <w:spacing w:after="0"/>
        <w:jc w:val="both"/>
        <w:rPr>
          <w:rFonts w:cs="Calibri"/>
          <w:b/>
        </w:rPr>
      </w:pPr>
    </w:p>
    <w:p w14:paraId="4D4F8A6C" w14:textId="0DBDCE1E" w:rsidR="00222657" w:rsidRDefault="00222657" w:rsidP="00552A95">
      <w:pPr>
        <w:spacing w:after="0"/>
        <w:jc w:val="both"/>
        <w:rPr>
          <w:rFonts w:cs="Calibri"/>
          <w:b/>
        </w:rPr>
      </w:pPr>
    </w:p>
    <w:p w14:paraId="299183AF" w14:textId="576DEF02" w:rsidR="00222657" w:rsidRDefault="00222657" w:rsidP="00552A95">
      <w:pPr>
        <w:spacing w:after="0"/>
        <w:jc w:val="both"/>
        <w:rPr>
          <w:rFonts w:cs="Calibri"/>
          <w:b/>
        </w:rPr>
      </w:pPr>
    </w:p>
    <w:p w14:paraId="104E9641" w14:textId="6E7B9C32" w:rsidR="00222657" w:rsidRDefault="00333F52" w:rsidP="00552A95">
      <w:pPr>
        <w:spacing w:after="0"/>
        <w:jc w:val="both"/>
        <w:rPr>
          <w:rFonts w:cs="Calibri"/>
          <w:bCs/>
        </w:rPr>
      </w:pPr>
      <w:r w:rsidRPr="00333F52">
        <w:rPr>
          <w:rFonts w:cs="Calibri"/>
          <w:b/>
          <w:noProof/>
        </w:rPr>
        <w:lastRenderedPageBreak/>
        <w:drawing>
          <wp:anchor distT="0" distB="0" distL="114300" distR="114300" simplePos="0" relativeHeight="251628032" behindDoc="1" locked="0" layoutInCell="1" allowOverlap="1" wp14:anchorId="31AD6A97" wp14:editId="427AA58C">
            <wp:simplePos x="0" y="0"/>
            <wp:positionH relativeFrom="column">
              <wp:posOffset>-95885</wp:posOffset>
            </wp:positionH>
            <wp:positionV relativeFrom="paragraph">
              <wp:posOffset>3423</wp:posOffset>
            </wp:positionV>
            <wp:extent cx="2838735" cy="2767391"/>
            <wp:effectExtent l="0" t="0" r="0" b="0"/>
            <wp:wrapTight wrapText="bothSides">
              <wp:wrapPolygon edited="0">
                <wp:start x="0" y="0"/>
                <wp:lineTo x="0" y="21412"/>
                <wp:lineTo x="21455" y="21412"/>
                <wp:lineTo x="21455" y="0"/>
                <wp:lineTo x="0" y="0"/>
              </wp:wrapPolygon>
            </wp:wrapTight>
            <wp:docPr id="175940261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735" cy="2767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414569D7" wp14:editId="3627A6C8">
            <wp:extent cx="2857204" cy="1822286"/>
            <wp:effectExtent l="0" t="0" r="0" b="0"/>
            <wp:docPr id="1745385043" name="Obraz 1" descr="Obraz zawierający tekst, zrzut ekranu, Czcionka, numer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385043" name="Obraz 1" descr="Obraz zawierający tekst, zrzut ekranu, Czcionka, numer&#10;&#10;Opis wygenerowany automatyczni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6346" cy="1853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058AD" w14:textId="16D29C83" w:rsidR="00333F52" w:rsidRDefault="00333F52" w:rsidP="00552A95">
      <w:pPr>
        <w:spacing w:after="0"/>
        <w:jc w:val="both"/>
        <w:rPr>
          <w:rFonts w:cs="Calibri"/>
          <w:bCs/>
        </w:rPr>
      </w:pPr>
    </w:p>
    <w:p w14:paraId="74BEBB3C" w14:textId="0E9B8BDF" w:rsidR="00333F52" w:rsidRDefault="00333F52" w:rsidP="00552A95">
      <w:pPr>
        <w:spacing w:after="0"/>
        <w:jc w:val="both"/>
        <w:rPr>
          <w:rFonts w:cs="Calibri"/>
          <w:bCs/>
        </w:rPr>
      </w:pPr>
    </w:p>
    <w:p w14:paraId="3112D2D7" w14:textId="5B6B8821" w:rsidR="00333F52" w:rsidRDefault="00333F52" w:rsidP="00552A95">
      <w:pPr>
        <w:spacing w:after="0"/>
        <w:jc w:val="both"/>
        <w:rPr>
          <w:rFonts w:cs="Calibri"/>
          <w:bCs/>
        </w:rPr>
      </w:pPr>
    </w:p>
    <w:p w14:paraId="42DC27A2" w14:textId="1C775948" w:rsidR="00333F52" w:rsidRDefault="00333F52" w:rsidP="00552A95">
      <w:pPr>
        <w:spacing w:after="0"/>
        <w:jc w:val="both"/>
        <w:rPr>
          <w:rFonts w:cs="Calibri"/>
          <w:bCs/>
        </w:rPr>
      </w:pPr>
    </w:p>
    <w:p w14:paraId="1B9C3061" w14:textId="21924F61" w:rsidR="00333F52" w:rsidRDefault="00333F52" w:rsidP="00552A95">
      <w:pPr>
        <w:spacing w:after="0"/>
        <w:jc w:val="both"/>
        <w:rPr>
          <w:rFonts w:cs="Calibri"/>
          <w:bCs/>
        </w:rPr>
      </w:pPr>
    </w:p>
    <w:p w14:paraId="4EF4F866" w14:textId="0491E5DC" w:rsidR="00333F52" w:rsidRDefault="002C0590" w:rsidP="00552A95">
      <w:pPr>
        <w:spacing w:after="0"/>
        <w:jc w:val="both"/>
        <w:rPr>
          <w:rFonts w:cs="Calibri"/>
          <w:bCs/>
        </w:rPr>
      </w:pPr>
      <w:r>
        <w:rPr>
          <w:noProof/>
        </w:rPr>
        <w:drawing>
          <wp:anchor distT="0" distB="0" distL="114300" distR="114300" simplePos="0" relativeHeight="251705856" behindDoc="0" locked="0" layoutInCell="1" allowOverlap="1" wp14:anchorId="3EE8A31E" wp14:editId="29EFA23F">
            <wp:simplePos x="0" y="0"/>
            <wp:positionH relativeFrom="column">
              <wp:posOffset>2924060</wp:posOffset>
            </wp:positionH>
            <wp:positionV relativeFrom="paragraph">
              <wp:posOffset>72654</wp:posOffset>
            </wp:positionV>
            <wp:extent cx="2805803" cy="1815020"/>
            <wp:effectExtent l="0" t="0" r="0" b="0"/>
            <wp:wrapNone/>
            <wp:docPr id="946982003" name="Obraz 1" descr="Obraz zawierający tekst, zrzut ekranu, numer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982003" name="Obraz 1" descr="Obraz zawierający tekst, zrzut ekranu, numer, Czcionka&#10;&#10;Opis wygenerowany automatyczni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3256" cy="1819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3F52" w:rsidRPr="00333F52">
        <w:rPr>
          <w:rFonts w:cs="Calibri"/>
          <w:bCs/>
          <w:noProof/>
        </w:rPr>
        <w:drawing>
          <wp:anchor distT="0" distB="0" distL="114300" distR="114300" simplePos="0" relativeHeight="251687424" behindDoc="0" locked="0" layoutInCell="1" allowOverlap="1" wp14:anchorId="1C5AD5AC" wp14:editId="11DFA649">
            <wp:simplePos x="0" y="0"/>
            <wp:positionH relativeFrom="column">
              <wp:posOffset>-100421</wp:posOffset>
            </wp:positionH>
            <wp:positionV relativeFrom="paragraph">
              <wp:posOffset>74741</wp:posOffset>
            </wp:positionV>
            <wp:extent cx="2838450" cy="1816100"/>
            <wp:effectExtent l="0" t="0" r="0" b="0"/>
            <wp:wrapNone/>
            <wp:docPr id="1040060568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1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Calibri"/>
          <w:bCs/>
        </w:rPr>
        <w:t xml:space="preserve">                                                                                          </w:t>
      </w:r>
    </w:p>
    <w:p w14:paraId="029A581A" w14:textId="51D90106" w:rsidR="00333F52" w:rsidRDefault="00333F52" w:rsidP="00552A95">
      <w:pPr>
        <w:spacing w:after="0"/>
        <w:jc w:val="both"/>
        <w:rPr>
          <w:rFonts w:cs="Calibri"/>
          <w:bCs/>
        </w:rPr>
      </w:pPr>
    </w:p>
    <w:p w14:paraId="0B0E7502" w14:textId="2AB5C79B" w:rsidR="00333F52" w:rsidRDefault="00333F52" w:rsidP="00552A95">
      <w:pPr>
        <w:spacing w:after="0"/>
        <w:jc w:val="both"/>
        <w:rPr>
          <w:rFonts w:cs="Calibri"/>
          <w:bCs/>
        </w:rPr>
      </w:pPr>
    </w:p>
    <w:p w14:paraId="38918B4B" w14:textId="426E1950" w:rsidR="00333F52" w:rsidRDefault="00333F52" w:rsidP="00552A95">
      <w:pPr>
        <w:spacing w:after="0"/>
        <w:jc w:val="both"/>
        <w:rPr>
          <w:rFonts w:cs="Calibri"/>
          <w:bCs/>
        </w:rPr>
      </w:pPr>
    </w:p>
    <w:p w14:paraId="4CF0804C" w14:textId="7DF0FFC1" w:rsidR="00333F52" w:rsidRDefault="00333F52" w:rsidP="00552A95">
      <w:pPr>
        <w:spacing w:after="0"/>
        <w:jc w:val="both"/>
        <w:rPr>
          <w:rFonts w:cs="Calibri"/>
          <w:bCs/>
        </w:rPr>
      </w:pPr>
    </w:p>
    <w:p w14:paraId="059096A6" w14:textId="1E0FE9A7" w:rsidR="00333F52" w:rsidRDefault="00333F52" w:rsidP="00552A95">
      <w:pPr>
        <w:spacing w:after="0"/>
        <w:jc w:val="both"/>
        <w:rPr>
          <w:rFonts w:cs="Calibri"/>
          <w:bCs/>
        </w:rPr>
      </w:pPr>
    </w:p>
    <w:p w14:paraId="12CFF85E" w14:textId="629E0456" w:rsidR="00333F52" w:rsidRDefault="00333F52" w:rsidP="00552A95">
      <w:pPr>
        <w:spacing w:after="0"/>
        <w:jc w:val="both"/>
        <w:rPr>
          <w:rFonts w:cs="Calibri"/>
          <w:bCs/>
        </w:rPr>
      </w:pPr>
    </w:p>
    <w:p w14:paraId="443752E2" w14:textId="0D2B4427" w:rsidR="00333F52" w:rsidRDefault="00333F52" w:rsidP="00552A95">
      <w:pPr>
        <w:spacing w:after="0"/>
        <w:jc w:val="both"/>
        <w:rPr>
          <w:rFonts w:cs="Calibri"/>
          <w:bCs/>
        </w:rPr>
      </w:pPr>
    </w:p>
    <w:p w14:paraId="016933EA" w14:textId="1E181FF8" w:rsidR="00333F52" w:rsidRDefault="00333F52" w:rsidP="00552A95">
      <w:pPr>
        <w:spacing w:after="0"/>
        <w:jc w:val="both"/>
        <w:rPr>
          <w:rFonts w:cs="Calibri"/>
          <w:bCs/>
        </w:rPr>
      </w:pPr>
    </w:p>
    <w:p w14:paraId="64A0F36D" w14:textId="6A5A97F2" w:rsidR="00333F52" w:rsidRDefault="002C0590" w:rsidP="00552A95">
      <w:pPr>
        <w:spacing w:after="0"/>
        <w:jc w:val="both"/>
        <w:rPr>
          <w:rFonts w:cs="Calibri"/>
          <w:bCs/>
        </w:rPr>
      </w:pPr>
      <w:r w:rsidRPr="002C0590">
        <w:rPr>
          <w:rFonts w:cs="Calibri"/>
          <w:bCs/>
          <w:noProof/>
        </w:rPr>
        <w:drawing>
          <wp:anchor distT="0" distB="0" distL="114300" distR="114300" simplePos="0" relativeHeight="251712000" behindDoc="0" locked="0" layoutInCell="1" allowOverlap="1" wp14:anchorId="544DBB03" wp14:editId="31961127">
            <wp:simplePos x="0" y="0"/>
            <wp:positionH relativeFrom="column">
              <wp:posOffset>2923540</wp:posOffset>
            </wp:positionH>
            <wp:positionV relativeFrom="paragraph">
              <wp:posOffset>1750695</wp:posOffset>
            </wp:positionV>
            <wp:extent cx="2814320" cy="1358900"/>
            <wp:effectExtent l="0" t="0" r="0" b="0"/>
            <wp:wrapThrough wrapText="bothSides">
              <wp:wrapPolygon edited="0">
                <wp:start x="0" y="0"/>
                <wp:lineTo x="0" y="21196"/>
                <wp:lineTo x="21493" y="21196"/>
                <wp:lineTo x="21493" y="0"/>
                <wp:lineTo x="0" y="0"/>
              </wp:wrapPolygon>
            </wp:wrapThrough>
            <wp:docPr id="233459428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9952" behindDoc="1" locked="0" layoutInCell="1" allowOverlap="1" wp14:anchorId="5CA64FFE" wp14:editId="079B04A3">
            <wp:simplePos x="0" y="0"/>
            <wp:positionH relativeFrom="column">
              <wp:posOffset>2923540</wp:posOffset>
            </wp:positionH>
            <wp:positionV relativeFrom="paragraph">
              <wp:posOffset>320040</wp:posOffset>
            </wp:positionV>
            <wp:extent cx="2814320" cy="1310005"/>
            <wp:effectExtent l="0" t="0" r="0" b="0"/>
            <wp:wrapTight wrapText="bothSides">
              <wp:wrapPolygon edited="0">
                <wp:start x="0" y="0"/>
                <wp:lineTo x="0" y="21359"/>
                <wp:lineTo x="21493" y="21359"/>
                <wp:lineTo x="21493" y="0"/>
                <wp:lineTo x="0" y="0"/>
              </wp:wrapPolygon>
            </wp:wrapTight>
            <wp:docPr id="1554979981" name="Obraz 1" descr="Obraz zawierający tekst, zrzut ekranu, numer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979981" name="Obraz 1" descr="Obraz zawierający tekst, zrzut ekranu, numer, Czcionka&#10;&#10;Opis wygenerowany automatycznie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4320" cy="1310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572BBD" w14:textId="7219FF0D" w:rsidR="00333F52" w:rsidRDefault="002C0590" w:rsidP="00552A95">
      <w:pPr>
        <w:spacing w:after="0"/>
        <w:jc w:val="both"/>
        <w:rPr>
          <w:rFonts w:cs="Calibri"/>
          <w:bCs/>
        </w:rPr>
      </w:pPr>
      <w:r>
        <w:rPr>
          <w:noProof/>
        </w:rPr>
        <w:drawing>
          <wp:anchor distT="0" distB="0" distL="114300" distR="114300" simplePos="0" relativeHeight="251668992" behindDoc="1" locked="0" layoutInCell="1" allowOverlap="1" wp14:anchorId="06ED1F2B" wp14:editId="5A6886D4">
            <wp:simplePos x="0" y="0"/>
            <wp:positionH relativeFrom="column">
              <wp:posOffset>-98425</wp:posOffset>
            </wp:positionH>
            <wp:positionV relativeFrom="paragraph">
              <wp:posOffset>1554480</wp:posOffset>
            </wp:positionV>
            <wp:extent cx="2838450" cy="1497965"/>
            <wp:effectExtent l="0" t="0" r="0" b="0"/>
            <wp:wrapTight wrapText="bothSides">
              <wp:wrapPolygon edited="0">
                <wp:start x="0" y="0"/>
                <wp:lineTo x="0" y="21426"/>
                <wp:lineTo x="21455" y="21426"/>
                <wp:lineTo x="21455" y="0"/>
                <wp:lineTo x="0" y="0"/>
              </wp:wrapPolygon>
            </wp:wrapTight>
            <wp:docPr id="1789158293" name="Obraz 1" descr="Obraz zawierający tekst, zrzut ekranu, numer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158293" name="Obraz 1" descr="Obraz zawierający tekst, zrzut ekranu, numer, Czcionka&#10;&#10;Opis wygenerowany automatycznie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497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8512" behindDoc="1" locked="0" layoutInCell="1" allowOverlap="1" wp14:anchorId="648279B6" wp14:editId="1EAD8201">
            <wp:simplePos x="0" y="0"/>
            <wp:positionH relativeFrom="column">
              <wp:posOffset>-98425</wp:posOffset>
            </wp:positionH>
            <wp:positionV relativeFrom="paragraph">
              <wp:posOffset>123825</wp:posOffset>
            </wp:positionV>
            <wp:extent cx="2838450" cy="1305560"/>
            <wp:effectExtent l="0" t="0" r="0" b="0"/>
            <wp:wrapTight wrapText="bothSides">
              <wp:wrapPolygon edited="0">
                <wp:start x="0" y="0"/>
                <wp:lineTo x="0" y="21432"/>
                <wp:lineTo x="21455" y="21432"/>
                <wp:lineTo x="21455" y="0"/>
                <wp:lineTo x="0" y="0"/>
              </wp:wrapPolygon>
            </wp:wrapTight>
            <wp:docPr id="19065047" name="Obraz 1" descr="Obraz zawierający tekst, zrzut ekranu, numer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5047" name="Obraz 1" descr="Obraz zawierający tekst, zrzut ekranu, numer, Czcionka&#10;&#10;Opis wygenerowany automatycznie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305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2221E4" w14:textId="1E90C827" w:rsidR="00333F52" w:rsidRDefault="00333F52" w:rsidP="00552A95">
      <w:pPr>
        <w:spacing w:after="0"/>
        <w:jc w:val="both"/>
        <w:rPr>
          <w:rFonts w:cs="Calibri"/>
          <w:bCs/>
        </w:rPr>
      </w:pPr>
    </w:p>
    <w:p w14:paraId="5ADBD932" w14:textId="14AF4E88" w:rsidR="00333F52" w:rsidRDefault="00333F52" w:rsidP="00552A95">
      <w:pPr>
        <w:spacing w:after="0"/>
        <w:jc w:val="both"/>
        <w:rPr>
          <w:rFonts w:cs="Calibri"/>
          <w:bCs/>
        </w:rPr>
      </w:pPr>
    </w:p>
    <w:p w14:paraId="039B2DCE" w14:textId="2CD7FB47" w:rsidR="00333F52" w:rsidRDefault="00333F52" w:rsidP="00552A95">
      <w:pPr>
        <w:spacing w:after="0"/>
        <w:jc w:val="both"/>
        <w:rPr>
          <w:rFonts w:cs="Calibri"/>
          <w:bCs/>
        </w:rPr>
      </w:pPr>
    </w:p>
    <w:p w14:paraId="6B65B9B0" w14:textId="0B1FA051" w:rsidR="00333F52" w:rsidRDefault="00333F52" w:rsidP="00552A95">
      <w:pPr>
        <w:spacing w:after="0"/>
        <w:jc w:val="both"/>
        <w:rPr>
          <w:rFonts w:cs="Calibri"/>
          <w:bCs/>
        </w:rPr>
      </w:pPr>
    </w:p>
    <w:p w14:paraId="4047C38A" w14:textId="446D3792" w:rsidR="00333F52" w:rsidRDefault="00333F52" w:rsidP="00552A95">
      <w:pPr>
        <w:spacing w:after="0"/>
        <w:jc w:val="both"/>
        <w:rPr>
          <w:rFonts w:cs="Calibri"/>
          <w:bCs/>
        </w:rPr>
      </w:pPr>
    </w:p>
    <w:p w14:paraId="6511425A" w14:textId="77777777" w:rsidR="002C0590" w:rsidRPr="002C0590" w:rsidRDefault="002C0590" w:rsidP="002C0590">
      <w:pPr>
        <w:spacing w:after="0"/>
        <w:jc w:val="both"/>
        <w:rPr>
          <w:rFonts w:cs="Calibri"/>
          <w:bCs/>
        </w:rPr>
      </w:pPr>
      <w:r w:rsidRPr="002C0590">
        <w:rPr>
          <w:rFonts w:cs="Calibri"/>
          <w:bCs/>
        </w:rPr>
        <w:lastRenderedPageBreak/>
        <w:t>Bloczki betonowe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525"/>
        <w:gridCol w:w="7763"/>
      </w:tblGrid>
      <w:tr w:rsidR="002C0590" w:rsidRPr="002C0590" w14:paraId="03D18703" w14:textId="77777777" w:rsidTr="0014526A">
        <w:tc>
          <w:tcPr>
            <w:tcW w:w="0" w:type="auto"/>
            <w:hideMark/>
          </w:tcPr>
          <w:p w14:paraId="622B5A6C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</w:rPr>
            </w:pPr>
            <w:r w:rsidRPr="002C0590">
              <w:rPr>
                <w:rFonts w:cs="Calibri"/>
                <w:bCs/>
              </w:rPr>
              <w:t>Opis produktu:</w:t>
            </w:r>
          </w:p>
        </w:tc>
        <w:tc>
          <w:tcPr>
            <w:tcW w:w="0" w:type="auto"/>
            <w:hideMark/>
          </w:tcPr>
          <w:p w14:paraId="3438D85F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</w:rPr>
            </w:pPr>
            <w:proofErr w:type="spellStart"/>
            <w:r w:rsidRPr="002C0590">
              <w:rPr>
                <w:rFonts w:cs="Calibri"/>
                <w:bCs/>
              </w:rPr>
              <w:t>Wibroprasowany</w:t>
            </w:r>
            <w:proofErr w:type="spellEnd"/>
            <w:r w:rsidRPr="002C0590">
              <w:rPr>
                <w:rFonts w:cs="Calibri"/>
                <w:bCs/>
              </w:rPr>
              <w:t xml:space="preserve"> bloczek betonowy z fakturą gładką</w:t>
            </w:r>
          </w:p>
        </w:tc>
      </w:tr>
      <w:tr w:rsidR="002C0590" w:rsidRPr="002C0590" w14:paraId="69729F7C" w14:textId="77777777" w:rsidTr="0014526A">
        <w:tc>
          <w:tcPr>
            <w:tcW w:w="0" w:type="auto"/>
            <w:hideMark/>
          </w:tcPr>
          <w:p w14:paraId="1835310B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</w:rPr>
            </w:pPr>
            <w:r w:rsidRPr="002C0590">
              <w:rPr>
                <w:rFonts w:cs="Calibri"/>
                <w:bCs/>
              </w:rPr>
              <w:t>Zastosowanie:</w:t>
            </w:r>
          </w:p>
        </w:tc>
        <w:tc>
          <w:tcPr>
            <w:tcW w:w="0" w:type="auto"/>
            <w:hideMark/>
          </w:tcPr>
          <w:p w14:paraId="4BA73A41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</w:rPr>
            </w:pPr>
            <w:r w:rsidRPr="002C0590">
              <w:rPr>
                <w:rFonts w:cs="Calibri"/>
                <w:bCs/>
              </w:rPr>
              <w:t>W budownictwie ogólnym, lądowym i wodnym w konstrukcjach murowych:</w:t>
            </w:r>
            <w:r w:rsidRPr="002C0590">
              <w:rPr>
                <w:rFonts w:cs="Calibri"/>
                <w:bCs/>
              </w:rPr>
              <w:br/>
              <w:t>tynkowanych lub nietynkowanych przenoszących obciążenia i nie przenoszących obciążeń.</w:t>
            </w:r>
            <w:r w:rsidRPr="002C0590">
              <w:rPr>
                <w:rFonts w:cs="Calibri"/>
                <w:bCs/>
              </w:rPr>
              <w:br/>
              <w:t>Elementy te przystosowane są do wszystkich rodzajów ścian w tym ścian: jednowarstwowych, oporowych, ścian piwnic. Mogą stanowić ochronę ogniową.</w:t>
            </w:r>
          </w:p>
        </w:tc>
      </w:tr>
      <w:tr w:rsidR="002C0590" w:rsidRPr="002C0590" w14:paraId="5DC37FE5" w14:textId="77777777" w:rsidTr="0014526A">
        <w:tc>
          <w:tcPr>
            <w:tcW w:w="0" w:type="auto"/>
            <w:hideMark/>
          </w:tcPr>
          <w:p w14:paraId="6D5D4A03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</w:rPr>
            </w:pPr>
            <w:r w:rsidRPr="002C0590">
              <w:rPr>
                <w:rFonts w:cs="Calibri"/>
                <w:bCs/>
              </w:rPr>
              <w:t>Normy:</w:t>
            </w:r>
          </w:p>
        </w:tc>
        <w:tc>
          <w:tcPr>
            <w:tcW w:w="0" w:type="auto"/>
            <w:hideMark/>
          </w:tcPr>
          <w:p w14:paraId="2EED397F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</w:rPr>
            </w:pPr>
            <w:r w:rsidRPr="002C0590">
              <w:rPr>
                <w:rFonts w:cs="Calibri"/>
                <w:bCs/>
              </w:rPr>
              <w:t>PN-EN 771-3:2011, EN 13501-2+A1:2010</w:t>
            </w:r>
          </w:p>
        </w:tc>
      </w:tr>
    </w:tbl>
    <w:p w14:paraId="300E6E53" w14:textId="77777777" w:rsidR="002C0590" w:rsidRPr="002C0590" w:rsidRDefault="002C0590" w:rsidP="002C0590">
      <w:pPr>
        <w:spacing w:after="0"/>
        <w:jc w:val="both"/>
        <w:rPr>
          <w:rFonts w:cs="Calibri"/>
          <w:bCs/>
        </w:rPr>
      </w:pPr>
    </w:p>
    <w:tbl>
      <w:tblPr>
        <w:tblW w:w="11313" w:type="dxa"/>
        <w:tblCellSpacing w:w="7" w:type="dxa"/>
        <w:tblInd w:w="-964" w:type="dxa"/>
        <w:shd w:val="clear" w:color="auto" w:fill="87A14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"/>
        <w:gridCol w:w="898"/>
        <w:gridCol w:w="737"/>
        <w:gridCol w:w="1092"/>
        <w:gridCol w:w="762"/>
        <w:gridCol w:w="782"/>
        <w:gridCol w:w="879"/>
        <w:gridCol w:w="1353"/>
        <w:gridCol w:w="933"/>
        <w:gridCol w:w="762"/>
        <w:gridCol w:w="531"/>
        <w:gridCol w:w="1272"/>
        <w:gridCol w:w="648"/>
      </w:tblGrid>
      <w:tr w:rsidR="002C0590" w:rsidRPr="002C0590" w14:paraId="103721E3" w14:textId="77777777" w:rsidTr="0014526A">
        <w:trPr>
          <w:trHeight w:val="375"/>
          <w:tblCellSpacing w:w="7" w:type="dxa"/>
        </w:trPr>
        <w:tc>
          <w:tcPr>
            <w:tcW w:w="0" w:type="auto"/>
            <w:shd w:val="clear" w:color="auto" w:fill="75903F"/>
            <w:vAlign w:val="center"/>
            <w:hideMark/>
          </w:tcPr>
          <w:p w14:paraId="34AB42D7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/>
                <w:bCs/>
                <w:sz w:val="16"/>
                <w:szCs w:val="16"/>
              </w:rPr>
            </w:pPr>
            <w:r w:rsidRPr="002C0590">
              <w:rPr>
                <w:rFonts w:cs="Calibri"/>
                <w:b/>
                <w:bCs/>
                <w:sz w:val="16"/>
                <w:szCs w:val="16"/>
              </w:rPr>
              <w:t>Materiał</w:t>
            </w:r>
          </w:p>
        </w:tc>
        <w:tc>
          <w:tcPr>
            <w:tcW w:w="0" w:type="auto"/>
            <w:shd w:val="clear" w:color="auto" w:fill="75903F"/>
            <w:vAlign w:val="center"/>
            <w:hideMark/>
          </w:tcPr>
          <w:p w14:paraId="29300008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/>
                <w:bCs/>
                <w:sz w:val="16"/>
                <w:szCs w:val="16"/>
              </w:rPr>
            </w:pPr>
            <w:r w:rsidRPr="002C0590">
              <w:rPr>
                <w:rFonts w:cs="Calibri"/>
                <w:b/>
                <w:bCs/>
                <w:sz w:val="16"/>
                <w:szCs w:val="16"/>
              </w:rPr>
              <w:t>Wymiary</w:t>
            </w:r>
          </w:p>
        </w:tc>
        <w:tc>
          <w:tcPr>
            <w:tcW w:w="0" w:type="auto"/>
            <w:shd w:val="clear" w:color="auto" w:fill="75903F"/>
            <w:vAlign w:val="center"/>
            <w:hideMark/>
          </w:tcPr>
          <w:p w14:paraId="317E0926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/>
                <w:bCs/>
                <w:sz w:val="16"/>
                <w:szCs w:val="16"/>
              </w:rPr>
            </w:pPr>
            <w:r w:rsidRPr="002C0590">
              <w:rPr>
                <w:rFonts w:cs="Calibri"/>
                <w:b/>
                <w:bCs/>
                <w:sz w:val="16"/>
                <w:szCs w:val="16"/>
              </w:rPr>
              <w:t>Masa elementu</w:t>
            </w:r>
          </w:p>
        </w:tc>
        <w:tc>
          <w:tcPr>
            <w:tcW w:w="1078" w:type="dxa"/>
            <w:shd w:val="clear" w:color="auto" w:fill="75903F"/>
            <w:vAlign w:val="center"/>
            <w:hideMark/>
          </w:tcPr>
          <w:p w14:paraId="4B31D344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/>
                <w:bCs/>
                <w:sz w:val="16"/>
                <w:szCs w:val="16"/>
              </w:rPr>
            </w:pPr>
            <w:r w:rsidRPr="002C0590">
              <w:rPr>
                <w:rFonts w:cs="Calibri"/>
                <w:b/>
                <w:bCs/>
                <w:sz w:val="16"/>
                <w:szCs w:val="16"/>
              </w:rPr>
              <w:t>Wytrzymałość na ściskanie (prostopadle do powierzchni kładzenia 300x140)</w:t>
            </w:r>
          </w:p>
        </w:tc>
        <w:tc>
          <w:tcPr>
            <w:tcW w:w="0" w:type="auto"/>
            <w:shd w:val="clear" w:color="auto" w:fill="75903F"/>
            <w:vAlign w:val="center"/>
            <w:hideMark/>
          </w:tcPr>
          <w:p w14:paraId="5182B716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/>
                <w:bCs/>
                <w:sz w:val="16"/>
                <w:szCs w:val="16"/>
              </w:rPr>
            </w:pPr>
            <w:r w:rsidRPr="002C0590">
              <w:rPr>
                <w:rFonts w:cs="Calibri"/>
                <w:b/>
                <w:bCs/>
                <w:sz w:val="16"/>
                <w:szCs w:val="16"/>
              </w:rPr>
              <w:t>Absorpcja wody</w:t>
            </w:r>
          </w:p>
        </w:tc>
        <w:tc>
          <w:tcPr>
            <w:tcW w:w="0" w:type="auto"/>
            <w:shd w:val="clear" w:color="auto" w:fill="75903F"/>
            <w:vAlign w:val="center"/>
            <w:hideMark/>
          </w:tcPr>
          <w:p w14:paraId="1EB6A99A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/>
                <w:bCs/>
                <w:sz w:val="16"/>
                <w:szCs w:val="16"/>
              </w:rPr>
            </w:pPr>
            <w:r w:rsidRPr="002C0590">
              <w:rPr>
                <w:rFonts w:cs="Calibri"/>
                <w:b/>
                <w:bCs/>
                <w:sz w:val="16"/>
                <w:szCs w:val="16"/>
              </w:rPr>
              <w:t>Gęstość brutto w stanie suchym</w:t>
            </w:r>
          </w:p>
        </w:tc>
        <w:tc>
          <w:tcPr>
            <w:tcW w:w="0" w:type="auto"/>
            <w:shd w:val="clear" w:color="auto" w:fill="75903F"/>
            <w:vAlign w:val="center"/>
            <w:hideMark/>
          </w:tcPr>
          <w:p w14:paraId="60952DEB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/>
                <w:bCs/>
                <w:sz w:val="16"/>
                <w:szCs w:val="16"/>
              </w:rPr>
            </w:pPr>
            <w:r w:rsidRPr="002C0590">
              <w:rPr>
                <w:rFonts w:cs="Calibri"/>
                <w:b/>
                <w:bCs/>
                <w:sz w:val="16"/>
                <w:szCs w:val="16"/>
              </w:rPr>
              <w:t>Odchyłki wymiarów</w:t>
            </w:r>
          </w:p>
        </w:tc>
        <w:tc>
          <w:tcPr>
            <w:tcW w:w="0" w:type="auto"/>
            <w:shd w:val="clear" w:color="auto" w:fill="75903F"/>
            <w:vAlign w:val="center"/>
            <w:hideMark/>
          </w:tcPr>
          <w:p w14:paraId="560F7A52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/>
                <w:bCs/>
                <w:sz w:val="16"/>
                <w:szCs w:val="16"/>
              </w:rPr>
            </w:pPr>
            <w:r w:rsidRPr="002C0590">
              <w:rPr>
                <w:rFonts w:cs="Calibri"/>
                <w:b/>
                <w:bCs/>
                <w:sz w:val="16"/>
                <w:szCs w:val="16"/>
              </w:rPr>
              <w:t>Trwałość (odporność na zamrażanie/ odmrażanie) - ubytek masy</w:t>
            </w:r>
          </w:p>
        </w:tc>
        <w:tc>
          <w:tcPr>
            <w:tcW w:w="0" w:type="auto"/>
            <w:shd w:val="clear" w:color="auto" w:fill="75903F"/>
            <w:vAlign w:val="center"/>
            <w:hideMark/>
          </w:tcPr>
          <w:p w14:paraId="2AD46F7C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/>
                <w:bCs/>
                <w:sz w:val="16"/>
                <w:szCs w:val="16"/>
              </w:rPr>
            </w:pPr>
            <w:r w:rsidRPr="002C0590">
              <w:rPr>
                <w:rFonts w:cs="Calibri"/>
                <w:b/>
                <w:bCs/>
                <w:sz w:val="16"/>
                <w:szCs w:val="16"/>
              </w:rPr>
              <w:t>Zużycie materiału</w:t>
            </w:r>
          </w:p>
        </w:tc>
        <w:tc>
          <w:tcPr>
            <w:tcW w:w="0" w:type="auto"/>
            <w:gridSpan w:val="2"/>
            <w:shd w:val="clear" w:color="auto" w:fill="75903F"/>
            <w:vAlign w:val="center"/>
            <w:hideMark/>
          </w:tcPr>
          <w:p w14:paraId="32C5BDC4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/>
                <w:bCs/>
                <w:sz w:val="16"/>
                <w:szCs w:val="16"/>
              </w:rPr>
            </w:pPr>
            <w:r w:rsidRPr="002C0590">
              <w:rPr>
                <w:rFonts w:cs="Calibri"/>
                <w:b/>
                <w:bCs/>
                <w:sz w:val="16"/>
                <w:szCs w:val="16"/>
              </w:rPr>
              <w:t>Ilość na palecie</w:t>
            </w:r>
          </w:p>
        </w:tc>
        <w:tc>
          <w:tcPr>
            <w:tcW w:w="1258" w:type="dxa"/>
            <w:shd w:val="clear" w:color="auto" w:fill="75903F"/>
            <w:vAlign w:val="center"/>
            <w:hideMark/>
          </w:tcPr>
          <w:p w14:paraId="670DDA3F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/>
                <w:bCs/>
                <w:sz w:val="16"/>
                <w:szCs w:val="16"/>
              </w:rPr>
            </w:pPr>
            <w:r w:rsidRPr="002C0590">
              <w:rPr>
                <w:rFonts w:cs="Calibri"/>
                <w:b/>
                <w:bCs/>
                <w:sz w:val="16"/>
                <w:szCs w:val="16"/>
              </w:rPr>
              <w:t>Łączenie elementów</w:t>
            </w:r>
          </w:p>
        </w:tc>
        <w:tc>
          <w:tcPr>
            <w:tcW w:w="0" w:type="auto"/>
            <w:shd w:val="clear" w:color="auto" w:fill="75903F"/>
            <w:vAlign w:val="center"/>
            <w:hideMark/>
          </w:tcPr>
          <w:p w14:paraId="197A9F1F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/>
                <w:bCs/>
                <w:sz w:val="16"/>
                <w:szCs w:val="16"/>
              </w:rPr>
            </w:pPr>
            <w:r w:rsidRPr="002C0590">
              <w:rPr>
                <w:rFonts w:cs="Calibri"/>
                <w:b/>
                <w:bCs/>
                <w:sz w:val="16"/>
                <w:szCs w:val="16"/>
              </w:rPr>
              <w:t>Reakcja na ogień</w:t>
            </w:r>
          </w:p>
        </w:tc>
      </w:tr>
      <w:tr w:rsidR="002C0590" w:rsidRPr="002C0590" w14:paraId="7027D735" w14:textId="77777777" w:rsidTr="0014526A">
        <w:trPr>
          <w:tblCellSpacing w:w="7" w:type="dxa"/>
        </w:trPr>
        <w:tc>
          <w:tcPr>
            <w:tcW w:w="0" w:type="auto"/>
            <w:vMerge w:val="restart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2E1BA8BB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beton zwykły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7624C84D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[mm]</w:t>
            </w:r>
            <w:r w:rsidRPr="002C0590">
              <w:rPr>
                <w:rFonts w:cs="Calibri"/>
                <w:bCs/>
                <w:sz w:val="16"/>
                <w:szCs w:val="16"/>
              </w:rPr>
              <w:br/>
            </w:r>
            <w:proofErr w:type="spellStart"/>
            <w:r w:rsidRPr="002C0590">
              <w:rPr>
                <w:rFonts w:cs="Calibri"/>
                <w:bCs/>
                <w:sz w:val="16"/>
                <w:szCs w:val="16"/>
              </w:rPr>
              <w:t>dł</w:t>
            </w:r>
            <w:proofErr w:type="spellEnd"/>
            <w:r w:rsidRPr="002C0590">
              <w:rPr>
                <w:rFonts w:cs="Calibri"/>
                <w:bCs/>
                <w:sz w:val="16"/>
                <w:szCs w:val="16"/>
              </w:rPr>
              <w:t>/</w:t>
            </w:r>
            <w:proofErr w:type="spellStart"/>
            <w:r w:rsidRPr="002C0590">
              <w:rPr>
                <w:rFonts w:cs="Calibri"/>
                <w:bCs/>
                <w:sz w:val="16"/>
                <w:szCs w:val="16"/>
              </w:rPr>
              <w:t>szer</w:t>
            </w:r>
            <w:proofErr w:type="spellEnd"/>
            <w:r w:rsidRPr="002C0590">
              <w:rPr>
                <w:rFonts w:cs="Calibri"/>
                <w:bCs/>
                <w:sz w:val="16"/>
                <w:szCs w:val="16"/>
              </w:rPr>
              <w:t>/</w:t>
            </w:r>
            <w:proofErr w:type="spellStart"/>
            <w:r w:rsidRPr="002C0590">
              <w:rPr>
                <w:rFonts w:cs="Calibri"/>
                <w:bCs/>
                <w:sz w:val="16"/>
                <w:szCs w:val="16"/>
              </w:rPr>
              <w:t>wys</w:t>
            </w:r>
            <w:proofErr w:type="spellEnd"/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7C251EEA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[kg]</w:t>
            </w:r>
          </w:p>
        </w:tc>
        <w:tc>
          <w:tcPr>
            <w:tcW w:w="1078" w:type="dxa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371FFB68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[N/mm</w:t>
            </w:r>
            <w:r w:rsidRPr="002C0590">
              <w:rPr>
                <w:rFonts w:cs="Calibri"/>
                <w:bCs/>
                <w:sz w:val="16"/>
                <w:szCs w:val="16"/>
                <w:vertAlign w:val="superscript"/>
              </w:rPr>
              <w:t>2</w:t>
            </w:r>
            <w:r w:rsidRPr="002C0590">
              <w:rPr>
                <w:rFonts w:cs="Calibri"/>
                <w:bCs/>
                <w:sz w:val="16"/>
                <w:szCs w:val="16"/>
              </w:rPr>
              <w:t>]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60FC9D1F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[g/(m</w:t>
            </w:r>
            <w:r w:rsidRPr="002C0590">
              <w:rPr>
                <w:rFonts w:cs="Calibri"/>
                <w:bCs/>
                <w:sz w:val="16"/>
                <w:szCs w:val="16"/>
                <w:vertAlign w:val="superscript"/>
              </w:rPr>
              <w:t>2</w:t>
            </w:r>
            <w:r w:rsidRPr="002C0590">
              <w:rPr>
                <w:rFonts w:cs="Calibri"/>
                <w:bCs/>
                <w:sz w:val="16"/>
                <w:szCs w:val="16"/>
              </w:rPr>
              <w:t>s)]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56248E05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[kg/m</w:t>
            </w:r>
            <w:r w:rsidRPr="002C0590">
              <w:rPr>
                <w:rFonts w:cs="Calibri"/>
                <w:bCs/>
                <w:sz w:val="16"/>
                <w:szCs w:val="16"/>
                <w:vertAlign w:val="superscript"/>
              </w:rPr>
              <w:t>3</w:t>
            </w:r>
            <w:r w:rsidRPr="002C0590">
              <w:rPr>
                <w:rFonts w:cs="Calibri"/>
                <w:bCs/>
                <w:sz w:val="16"/>
                <w:szCs w:val="16"/>
              </w:rPr>
              <w:t>]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536934E6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[mm]</w:t>
            </w:r>
            <w:r w:rsidRPr="002C0590">
              <w:rPr>
                <w:rFonts w:cs="Calibri"/>
                <w:bCs/>
                <w:sz w:val="16"/>
                <w:szCs w:val="16"/>
              </w:rPr>
              <w:br/>
            </w:r>
            <w:proofErr w:type="spellStart"/>
            <w:r w:rsidRPr="002C0590">
              <w:rPr>
                <w:rFonts w:cs="Calibri"/>
                <w:bCs/>
                <w:sz w:val="16"/>
                <w:szCs w:val="16"/>
              </w:rPr>
              <w:t>dł</w:t>
            </w:r>
            <w:proofErr w:type="spellEnd"/>
            <w:r w:rsidRPr="002C0590">
              <w:rPr>
                <w:rFonts w:cs="Calibri"/>
                <w:bCs/>
                <w:sz w:val="16"/>
                <w:szCs w:val="16"/>
              </w:rPr>
              <w:t>/</w:t>
            </w:r>
            <w:proofErr w:type="spellStart"/>
            <w:r w:rsidRPr="002C0590">
              <w:rPr>
                <w:rFonts w:cs="Calibri"/>
                <w:bCs/>
                <w:sz w:val="16"/>
                <w:szCs w:val="16"/>
              </w:rPr>
              <w:t>szer</w:t>
            </w:r>
            <w:proofErr w:type="spellEnd"/>
            <w:r w:rsidRPr="002C0590">
              <w:rPr>
                <w:rFonts w:cs="Calibri"/>
                <w:bCs/>
                <w:sz w:val="16"/>
                <w:szCs w:val="16"/>
              </w:rPr>
              <w:t>/</w:t>
            </w:r>
            <w:proofErr w:type="spellStart"/>
            <w:r w:rsidRPr="002C0590">
              <w:rPr>
                <w:rFonts w:cs="Calibri"/>
                <w:bCs/>
                <w:sz w:val="16"/>
                <w:szCs w:val="16"/>
              </w:rPr>
              <w:t>wys</w:t>
            </w:r>
            <w:proofErr w:type="spellEnd"/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061F48A7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[%]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7932F420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[sztuki/na 1m</w:t>
            </w:r>
            <w:r w:rsidRPr="002C0590">
              <w:rPr>
                <w:rFonts w:cs="Calibri"/>
                <w:bCs/>
                <w:sz w:val="16"/>
                <w:szCs w:val="16"/>
                <w:vertAlign w:val="superscript"/>
              </w:rPr>
              <w:t>2</w:t>
            </w:r>
            <w:r w:rsidRPr="002C0590">
              <w:rPr>
                <w:rFonts w:cs="Calibri"/>
                <w:bCs/>
                <w:sz w:val="16"/>
                <w:szCs w:val="16"/>
              </w:rPr>
              <w:t> muru] bez spoiny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32CC5814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COLUMBIA</w:t>
            </w:r>
            <w:r w:rsidRPr="002C0590">
              <w:rPr>
                <w:rFonts w:cs="Calibri"/>
                <w:bCs/>
                <w:sz w:val="16"/>
                <w:szCs w:val="16"/>
              </w:rPr>
              <w:br/>
              <w:t>[szt.]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645BB2D5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REKERS</w:t>
            </w:r>
            <w:r w:rsidRPr="002C0590">
              <w:rPr>
                <w:rFonts w:cs="Calibri"/>
                <w:bCs/>
                <w:sz w:val="16"/>
                <w:szCs w:val="16"/>
              </w:rPr>
              <w:br/>
              <w:t>[szt.]</w:t>
            </w:r>
          </w:p>
        </w:tc>
        <w:tc>
          <w:tcPr>
            <w:tcW w:w="1258" w:type="dxa"/>
            <w:vMerge w:val="restart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2CE87EBB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zaprawa murarska cienkowarstwowa oraz tradycyjna</w:t>
            </w:r>
          </w:p>
        </w:tc>
        <w:tc>
          <w:tcPr>
            <w:tcW w:w="0" w:type="auto"/>
            <w:vMerge w:val="restart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6E528E3E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A1</w:t>
            </w:r>
          </w:p>
        </w:tc>
      </w:tr>
      <w:tr w:rsidR="002C0590" w:rsidRPr="002C0590" w14:paraId="126AE78C" w14:textId="77777777" w:rsidTr="0014526A">
        <w:trPr>
          <w:tblCellSpacing w:w="7" w:type="dxa"/>
        </w:trPr>
        <w:tc>
          <w:tcPr>
            <w:tcW w:w="0" w:type="auto"/>
            <w:vMerge/>
            <w:shd w:val="clear" w:color="auto" w:fill="87A148"/>
            <w:vAlign w:val="center"/>
            <w:hideMark/>
          </w:tcPr>
          <w:p w14:paraId="437801AB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6DE4C8DF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300/140/240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7CFB0559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22,5</w:t>
            </w:r>
          </w:p>
        </w:tc>
        <w:tc>
          <w:tcPr>
            <w:tcW w:w="1078" w:type="dxa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45092EBA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25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0C52781B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5,5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52D651D0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2070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030D86A3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+3-5/+3-5/+3-5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38F2C82C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0,15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54F6193A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24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00329D5E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56</w:t>
            </w:r>
          </w:p>
        </w:tc>
        <w:tc>
          <w:tcPr>
            <w:tcW w:w="0" w:type="auto"/>
            <w:shd w:val="clear" w:color="auto" w:fill="FEEECB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  <w:hideMark/>
          </w:tcPr>
          <w:p w14:paraId="30CBC3B7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  <w:r w:rsidRPr="002C0590">
              <w:rPr>
                <w:rFonts w:cs="Calibri"/>
                <w:bCs/>
                <w:sz w:val="16"/>
                <w:szCs w:val="16"/>
              </w:rPr>
              <w:t>64</w:t>
            </w:r>
          </w:p>
        </w:tc>
        <w:tc>
          <w:tcPr>
            <w:tcW w:w="1258" w:type="dxa"/>
            <w:vMerge/>
            <w:shd w:val="clear" w:color="auto" w:fill="87A148"/>
            <w:vAlign w:val="center"/>
            <w:hideMark/>
          </w:tcPr>
          <w:p w14:paraId="14200F8A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87A148"/>
            <w:vAlign w:val="center"/>
            <w:hideMark/>
          </w:tcPr>
          <w:p w14:paraId="2D00CAA5" w14:textId="77777777" w:rsidR="002C0590" w:rsidRPr="002C0590" w:rsidRDefault="002C0590" w:rsidP="002C0590">
            <w:pPr>
              <w:spacing w:after="0"/>
              <w:jc w:val="both"/>
              <w:rPr>
                <w:rFonts w:cs="Calibri"/>
                <w:bCs/>
                <w:sz w:val="16"/>
                <w:szCs w:val="16"/>
              </w:rPr>
            </w:pPr>
          </w:p>
        </w:tc>
      </w:tr>
    </w:tbl>
    <w:p w14:paraId="5DB9CAA8" w14:textId="3896FE30" w:rsidR="00333F52" w:rsidRDefault="00333F52" w:rsidP="00552A95">
      <w:pPr>
        <w:spacing w:after="0"/>
        <w:jc w:val="both"/>
        <w:rPr>
          <w:rFonts w:cs="Calibri"/>
          <w:bCs/>
        </w:rPr>
      </w:pPr>
    </w:p>
    <w:p w14:paraId="60278700" w14:textId="379656BA" w:rsidR="008A06C8" w:rsidRPr="00552A95" w:rsidRDefault="00552A95" w:rsidP="00AC1E20">
      <w:pPr>
        <w:spacing w:after="0"/>
        <w:jc w:val="both"/>
        <w:rPr>
          <w:rFonts w:cs="Calibri"/>
          <w:b/>
        </w:rPr>
      </w:pPr>
      <w:r w:rsidRPr="00552A95">
        <w:rPr>
          <w:rFonts w:cs="Calibri"/>
          <w:b/>
        </w:rPr>
        <w:t>Nadproża</w:t>
      </w:r>
    </w:p>
    <w:p w14:paraId="5BE817C8" w14:textId="41BBE7AF" w:rsidR="00552A95" w:rsidRPr="00552A95" w:rsidRDefault="00552A95" w:rsidP="00552A95">
      <w:pPr>
        <w:spacing w:after="0"/>
        <w:jc w:val="both"/>
        <w:rPr>
          <w:rFonts w:cs="Calibri"/>
          <w:bCs/>
        </w:rPr>
      </w:pPr>
      <w:r w:rsidRPr="00552A95">
        <w:rPr>
          <w:rFonts w:cs="Calibri"/>
          <w:bCs/>
        </w:rPr>
        <w:t>Wymiary l/b/h [mm]</w:t>
      </w:r>
      <w:r>
        <w:rPr>
          <w:rFonts w:cs="Calibri"/>
          <w:bCs/>
        </w:rPr>
        <w:t>:</w:t>
      </w:r>
      <w:r w:rsidRPr="00552A95">
        <w:rPr>
          <w:rFonts w:cs="Calibri"/>
          <w:bCs/>
        </w:rPr>
        <w:t xml:space="preserve"> 1000-3250 (co 250 mm)/70/238</w:t>
      </w:r>
    </w:p>
    <w:p w14:paraId="71E54D90" w14:textId="60B3F3B2" w:rsidR="00552A95" w:rsidRPr="00552A95" w:rsidRDefault="00552A95" w:rsidP="00552A95">
      <w:pPr>
        <w:spacing w:after="0"/>
        <w:jc w:val="both"/>
        <w:rPr>
          <w:rFonts w:cs="Calibri"/>
          <w:bCs/>
        </w:rPr>
      </w:pPr>
      <w:r w:rsidRPr="00552A95">
        <w:rPr>
          <w:rFonts w:cs="Calibri"/>
          <w:bCs/>
        </w:rPr>
        <w:t>Masa [kg/m.b.]</w:t>
      </w:r>
      <w:r>
        <w:rPr>
          <w:rFonts w:cs="Calibri"/>
          <w:bCs/>
        </w:rPr>
        <w:t>:</w:t>
      </w:r>
      <w:r w:rsidRPr="00552A95">
        <w:rPr>
          <w:rFonts w:cs="Calibri"/>
          <w:bCs/>
        </w:rPr>
        <w:t xml:space="preserve"> ok. 35</w:t>
      </w:r>
    </w:p>
    <w:p w14:paraId="04DD7B76" w14:textId="7298ECAC" w:rsidR="00552A95" w:rsidRPr="00552A95" w:rsidRDefault="00552A95" w:rsidP="00552A95">
      <w:pPr>
        <w:spacing w:after="0"/>
        <w:jc w:val="both"/>
        <w:rPr>
          <w:rFonts w:cs="Calibri"/>
          <w:bCs/>
        </w:rPr>
      </w:pPr>
      <w:r w:rsidRPr="00552A95">
        <w:rPr>
          <w:rFonts w:cs="Calibri"/>
          <w:bCs/>
        </w:rPr>
        <w:t>Trwałość (mrozoodporność)</w:t>
      </w:r>
      <w:r>
        <w:rPr>
          <w:rFonts w:cs="Calibri"/>
          <w:bCs/>
        </w:rPr>
        <w:t>:</w:t>
      </w:r>
      <w:r w:rsidRPr="00552A95">
        <w:rPr>
          <w:rFonts w:cs="Calibri"/>
          <w:bCs/>
        </w:rPr>
        <w:t xml:space="preserve"> Odporne na zamrażanie/rozmrażanie</w:t>
      </w:r>
    </w:p>
    <w:p w14:paraId="3FD611F1" w14:textId="6FBC69BC" w:rsidR="00552A95" w:rsidRPr="00552A95" w:rsidRDefault="00552A95" w:rsidP="00552A95">
      <w:pPr>
        <w:spacing w:after="0"/>
        <w:jc w:val="both"/>
        <w:rPr>
          <w:rFonts w:cs="Calibri"/>
          <w:bCs/>
        </w:rPr>
      </w:pPr>
      <w:r w:rsidRPr="00552A95">
        <w:rPr>
          <w:rFonts w:cs="Calibri"/>
          <w:bCs/>
        </w:rPr>
        <w:t>Współczynnik dyfuzji pary wodnej</w:t>
      </w:r>
      <w:r>
        <w:rPr>
          <w:rFonts w:cs="Calibri"/>
          <w:bCs/>
        </w:rPr>
        <w:t>:</w:t>
      </w:r>
      <w:r w:rsidRPr="00552A95">
        <w:rPr>
          <w:rFonts w:cs="Calibri"/>
          <w:bCs/>
        </w:rPr>
        <w:t xml:space="preserve"> 5/15</w:t>
      </w:r>
    </w:p>
    <w:p w14:paraId="127B2D9C" w14:textId="53E709AA" w:rsidR="00552A95" w:rsidRPr="00552A95" w:rsidRDefault="00552A95" w:rsidP="00552A95">
      <w:pPr>
        <w:spacing w:after="0"/>
        <w:jc w:val="both"/>
        <w:rPr>
          <w:rFonts w:cs="Calibri"/>
          <w:bCs/>
        </w:rPr>
      </w:pPr>
      <w:r w:rsidRPr="00552A95">
        <w:rPr>
          <w:rFonts w:cs="Calibri"/>
          <w:bCs/>
        </w:rPr>
        <w:t>Absorbcja wody</w:t>
      </w:r>
      <w:r>
        <w:rPr>
          <w:rFonts w:cs="Calibri"/>
          <w:bCs/>
        </w:rPr>
        <w:t>:</w:t>
      </w:r>
      <w:r w:rsidRPr="00552A95">
        <w:rPr>
          <w:rFonts w:cs="Calibri"/>
          <w:bCs/>
        </w:rPr>
        <w:t xml:space="preserve"> </w:t>
      </w:r>
    </w:p>
    <w:p w14:paraId="2ED6E475" w14:textId="502D2C90" w:rsidR="00552A95" w:rsidRDefault="00552A95" w:rsidP="00552A95">
      <w:pPr>
        <w:spacing w:after="0"/>
        <w:jc w:val="both"/>
        <w:rPr>
          <w:rFonts w:cs="Calibri"/>
          <w:bCs/>
        </w:rPr>
      </w:pPr>
      <w:r w:rsidRPr="00552A95">
        <w:rPr>
          <w:rFonts w:cs="Calibri"/>
          <w:bCs/>
        </w:rPr>
        <w:t xml:space="preserve">kg/m2min </w:t>
      </w:r>
      <w:r>
        <w:rPr>
          <w:rFonts w:cs="Calibri"/>
          <w:bCs/>
        </w:rPr>
        <w:t xml:space="preserve">- </w:t>
      </w:r>
      <w:r w:rsidRPr="00552A95">
        <w:rPr>
          <w:rFonts w:cs="Calibri"/>
          <w:bCs/>
        </w:rPr>
        <w:t>część ceramiczna (wart. początkowa):</w:t>
      </w:r>
      <w:r>
        <w:rPr>
          <w:rFonts w:cs="Calibri"/>
          <w:bCs/>
        </w:rPr>
        <w:t xml:space="preserve"> </w:t>
      </w:r>
      <w:r w:rsidRPr="00552A95">
        <w:rPr>
          <w:rFonts w:cs="Calibri"/>
          <w:bCs/>
        </w:rPr>
        <w:t xml:space="preserve">0,8 (±0,4) </w:t>
      </w:r>
    </w:p>
    <w:p w14:paraId="701373BD" w14:textId="555F58F2" w:rsidR="00552A95" w:rsidRDefault="00552A95" w:rsidP="00552A95">
      <w:pPr>
        <w:spacing w:after="0"/>
        <w:jc w:val="both"/>
        <w:rPr>
          <w:rFonts w:cs="Calibri"/>
          <w:bCs/>
        </w:rPr>
      </w:pPr>
      <w:r>
        <w:t>g/m2 s 0,5 - część betonowa: 33,3 (±10,0)</w:t>
      </w:r>
    </w:p>
    <w:p w14:paraId="42572902" w14:textId="666AEB6F" w:rsidR="00552A95" w:rsidRPr="00552A95" w:rsidRDefault="00552A95" w:rsidP="00552A95">
      <w:pPr>
        <w:spacing w:after="0"/>
        <w:jc w:val="both"/>
        <w:rPr>
          <w:rFonts w:cs="Calibri"/>
          <w:bCs/>
        </w:rPr>
      </w:pPr>
      <w:r w:rsidRPr="00552A95">
        <w:rPr>
          <w:rFonts w:cs="Calibri"/>
          <w:bCs/>
        </w:rPr>
        <w:t>Współczynnik przewodzenia</w:t>
      </w:r>
      <w:r>
        <w:rPr>
          <w:rFonts w:cs="Calibri"/>
          <w:bCs/>
        </w:rPr>
        <w:t xml:space="preserve"> </w:t>
      </w:r>
      <w:r w:rsidRPr="00552A95">
        <w:rPr>
          <w:rFonts w:cs="Calibri"/>
          <w:bCs/>
        </w:rPr>
        <w:t>ciepła [W/(</w:t>
      </w:r>
      <w:proofErr w:type="spellStart"/>
      <w:r w:rsidRPr="00552A95">
        <w:rPr>
          <w:rFonts w:cs="Calibri"/>
          <w:bCs/>
        </w:rPr>
        <w:t>mK</w:t>
      </w:r>
      <w:proofErr w:type="spellEnd"/>
      <w:r w:rsidRPr="00552A95">
        <w:rPr>
          <w:rFonts w:cs="Calibri"/>
          <w:bCs/>
        </w:rPr>
        <w:t>)]</w:t>
      </w:r>
      <w:r>
        <w:rPr>
          <w:rFonts w:cs="Calibri"/>
          <w:bCs/>
        </w:rPr>
        <w:t>:</w:t>
      </w:r>
      <w:r w:rsidRPr="00552A95">
        <w:rPr>
          <w:rFonts w:cs="Calibri"/>
          <w:bCs/>
        </w:rPr>
        <w:t xml:space="preserve"> </w:t>
      </w:r>
      <w:proofErr w:type="spellStart"/>
      <w:r w:rsidRPr="00552A95">
        <w:rPr>
          <w:rFonts w:cs="Calibri"/>
          <w:bCs/>
        </w:rPr>
        <w:t>λ</w:t>
      </w:r>
      <w:r w:rsidRPr="00552A95">
        <w:rPr>
          <w:rFonts w:cs="Calibri"/>
          <w:bCs/>
          <w:vertAlign w:val="subscript"/>
        </w:rPr>
        <w:t>equ</w:t>
      </w:r>
      <w:proofErr w:type="spellEnd"/>
      <w:r w:rsidRPr="00552A95">
        <w:rPr>
          <w:rFonts w:cs="Calibri"/>
          <w:bCs/>
        </w:rPr>
        <w:t xml:space="preserve"> = 0,91</w:t>
      </w:r>
    </w:p>
    <w:p w14:paraId="24CD1B27" w14:textId="3576B4CF" w:rsidR="00552A95" w:rsidRPr="00552A95" w:rsidRDefault="00552A95" w:rsidP="00552A95">
      <w:pPr>
        <w:spacing w:after="0"/>
        <w:jc w:val="both"/>
        <w:rPr>
          <w:rFonts w:cs="Calibri"/>
          <w:bCs/>
        </w:rPr>
      </w:pPr>
      <w:r w:rsidRPr="00552A95">
        <w:rPr>
          <w:rFonts w:cs="Calibri"/>
          <w:bCs/>
        </w:rPr>
        <w:t>Minimalne</w:t>
      </w:r>
      <w:r>
        <w:rPr>
          <w:rFonts w:cs="Calibri"/>
          <w:bCs/>
        </w:rPr>
        <w:t xml:space="preserve"> </w:t>
      </w:r>
      <w:r w:rsidRPr="00552A95">
        <w:rPr>
          <w:rFonts w:cs="Calibri"/>
          <w:bCs/>
        </w:rPr>
        <w:t>oparcie belek [mm]</w:t>
      </w:r>
      <w:r>
        <w:rPr>
          <w:rFonts w:cs="Calibri"/>
          <w:bCs/>
        </w:rPr>
        <w:t>:</w:t>
      </w:r>
      <w:r w:rsidRPr="00552A95">
        <w:rPr>
          <w:rFonts w:cs="Calibri"/>
          <w:bCs/>
        </w:rPr>
        <w:t xml:space="preserve"> 125</w:t>
      </w:r>
    </w:p>
    <w:p w14:paraId="1D89F384" w14:textId="2603290A" w:rsidR="00552A95" w:rsidRDefault="00552A95" w:rsidP="00552A95">
      <w:pPr>
        <w:spacing w:after="0"/>
        <w:jc w:val="both"/>
        <w:rPr>
          <w:rFonts w:cs="Calibri"/>
          <w:bCs/>
        </w:rPr>
      </w:pPr>
      <w:r w:rsidRPr="00552A95">
        <w:rPr>
          <w:rFonts w:cs="Calibri"/>
          <w:bCs/>
        </w:rPr>
        <w:t>Klasa odporności ogniowej</w:t>
      </w:r>
      <w:r>
        <w:rPr>
          <w:rFonts w:cs="Calibri"/>
          <w:bCs/>
        </w:rPr>
        <w:t>:</w:t>
      </w:r>
      <w:r w:rsidRPr="00552A95">
        <w:rPr>
          <w:rFonts w:cs="Calibri"/>
          <w:bCs/>
        </w:rPr>
        <w:t xml:space="preserve"> R60</w:t>
      </w:r>
    </w:p>
    <w:p w14:paraId="1BEE836F" w14:textId="77777777" w:rsidR="008A06C8" w:rsidRPr="005276AC" w:rsidRDefault="008A06C8" w:rsidP="00AC1E20">
      <w:pPr>
        <w:spacing w:after="0"/>
        <w:jc w:val="both"/>
        <w:rPr>
          <w:rFonts w:cs="Calibri"/>
          <w:bCs/>
        </w:rPr>
      </w:pPr>
    </w:p>
    <w:p w14:paraId="4C4D674A" w14:textId="77777777" w:rsidR="005276AC" w:rsidRPr="00AC78A4" w:rsidRDefault="00AC78A4" w:rsidP="00ED6934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AC78A4">
        <w:rPr>
          <w:rFonts w:cs="Calibri"/>
          <w:b/>
          <w:bCs/>
        </w:rPr>
        <w:t>SPRZĘT</w:t>
      </w:r>
    </w:p>
    <w:p w14:paraId="50805D25" w14:textId="77777777" w:rsidR="00AC78A4" w:rsidRPr="00AC78A4" w:rsidRDefault="00AC78A4" w:rsidP="00AC78A4">
      <w:pPr>
        <w:spacing w:after="0"/>
        <w:jc w:val="both"/>
        <w:rPr>
          <w:rFonts w:cs="Calibri"/>
          <w:bCs/>
        </w:rPr>
      </w:pPr>
      <w:r w:rsidRPr="00AC78A4">
        <w:rPr>
          <w:rFonts w:cs="Calibri"/>
          <w:bCs/>
        </w:rPr>
        <w:t>Ogólne wymagania dotyczące sprzętu podano w „Wymaganiach ogólnych”.</w:t>
      </w:r>
    </w:p>
    <w:p w14:paraId="6782376B" w14:textId="77777777" w:rsidR="00175B92" w:rsidRDefault="00AC78A4" w:rsidP="00AC78A4">
      <w:pPr>
        <w:spacing w:after="0"/>
        <w:jc w:val="both"/>
        <w:rPr>
          <w:rFonts w:cs="Calibri"/>
          <w:bCs/>
        </w:rPr>
      </w:pPr>
      <w:r w:rsidRPr="00AC78A4">
        <w:rPr>
          <w:rFonts w:cs="Calibri"/>
          <w:bCs/>
        </w:rPr>
        <w:t xml:space="preserve">Wykonawca przystępujący do wykonania prac winien wykazać się możliwością korzystania z maszyn i sprzętu gwarantujących właściwą to jest spełniającą wymagania Specyfikacji Technicznej jakość robót. Wykonawca jest zobowiązany do używania jedynie takiego sprzętu, który nie spowoduje niekorzystnego wpływu na jakość wykonywanych prac, zarówno w miejscu tych prac, jak też przy wykonywaniu czynności pomocniczych oraz </w:t>
      </w:r>
    </w:p>
    <w:p w14:paraId="0995020E" w14:textId="77777777" w:rsidR="005276AC" w:rsidRDefault="00AC78A4" w:rsidP="00AC78A4">
      <w:pPr>
        <w:spacing w:after="0"/>
        <w:jc w:val="both"/>
        <w:rPr>
          <w:rFonts w:cs="Calibri"/>
          <w:bCs/>
        </w:rPr>
      </w:pPr>
      <w:r w:rsidRPr="00AC78A4">
        <w:rPr>
          <w:rFonts w:cs="Calibri"/>
          <w:bCs/>
        </w:rPr>
        <w:t>w czasie transportu, załadunku i wyładunek materiałów, sprzętu itp. Sprzęt używany przez wykonawcę winien uzyskać akceptację Nadzoru Inwestycyjnego.</w:t>
      </w:r>
    </w:p>
    <w:p w14:paraId="347C8211" w14:textId="77777777" w:rsidR="0047162B" w:rsidRPr="0047162B" w:rsidRDefault="0047162B" w:rsidP="0047162B">
      <w:pPr>
        <w:spacing w:after="0"/>
        <w:jc w:val="both"/>
        <w:rPr>
          <w:rFonts w:cs="Calibri"/>
          <w:bCs/>
        </w:rPr>
      </w:pPr>
      <w:r w:rsidRPr="0047162B">
        <w:rPr>
          <w:rFonts w:cs="Calibri"/>
          <w:bCs/>
        </w:rPr>
        <w:t>Do wykonania robót należy stosować dowolny typ sprzętu, sprawny technicznie i</w:t>
      </w:r>
      <w:r>
        <w:rPr>
          <w:rFonts w:cs="Calibri"/>
          <w:bCs/>
        </w:rPr>
        <w:t xml:space="preserve"> </w:t>
      </w:r>
      <w:r w:rsidRPr="0047162B">
        <w:rPr>
          <w:rFonts w:cs="Calibri"/>
          <w:bCs/>
        </w:rPr>
        <w:t>zaakceptowany przez Inspektora Nadzoru, np.:</w:t>
      </w:r>
    </w:p>
    <w:p w14:paraId="27969BBF" w14:textId="77777777" w:rsidR="0047162B" w:rsidRPr="0047162B" w:rsidRDefault="0047162B" w:rsidP="0047162B">
      <w:pPr>
        <w:spacing w:after="0"/>
        <w:jc w:val="both"/>
        <w:rPr>
          <w:rFonts w:cs="Calibri"/>
          <w:bCs/>
        </w:rPr>
      </w:pPr>
      <w:r w:rsidRPr="0047162B">
        <w:rPr>
          <w:rFonts w:cs="Calibri"/>
          <w:bCs/>
        </w:rPr>
        <w:t>_ rusztowanie warszawskie,</w:t>
      </w:r>
    </w:p>
    <w:p w14:paraId="57E1B27F" w14:textId="77777777" w:rsidR="0047162B" w:rsidRPr="0047162B" w:rsidRDefault="0047162B" w:rsidP="0047162B">
      <w:pPr>
        <w:spacing w:after="0"/>
        <w:jc w:val="both"/>
        <w:rPr>
          <w:rFonts w:cs="Calibri"/>
          <w:bCs/>
        </w:rPr>
      </w:pPr>
      <w:r w:rsidRPr="0047162B">
        <w:rPr>
          <w:rFonts w:cs="Calibri"/>
          <w:bCs/>
        </w:rPr>
        <w:t>_ urządzenia do przygotowania zaprawy - betoniarka,</w:t>
      </w:r>
    </w:p>
    <w:p w14:paraId="08899040" w14:textId="77777777" w:rsidR="00AC78A4" w:rsidRDefault="0047162B" w:rsidP="0047162B">
      <w:pPr>
        <w:spacing w:after="0"/>
        <w:jc w:val="both"/>
        <w:rPr>
          <w:rFonts w:cs="Calibri"/>
          <w:bCs/>
        </w:rPr>
      </w:pPr>
      <w:r w:rsidRPr="0047162B">
        <w:rPr>
          <w:rFonts w:cs="Calibri"/>
          <w:bCs/>
        </w:rPr>
        <w:lastRenderedPageBreak/>
        <w:t>_ wyciąg jednomasztowy.</w:t>
      </w:r>
    </w:p>
    <w:p w14:paraId="206FA01F" w14:textId="77777777" w:rsidR="00AC78A4" w:rsidRDefault="00AC78A4" w:rsidP="00AC78A4">
      <w:pPr>
        <w:spacing w:after="0"/>
        <w:jc w:val="both"/>
        <w:rPr>
          <w:rFonts w:cs="Calibri"/>
          <w:bCs/>
        </w:rPr>
      </w:pPr>
    </w:p>
    <w:p w14:paraId="755E99EE" w14:textId="77777777" w:rsidR="00AC78A4" w:rsidRPr="0047162B" w:rsidRDefault="0047162B" w:rsidP="00ED6934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47162B">
        <w:rPr>
          <w:rFonts w:cs="Calibri"/>
          <w:b/>
          <w:bCs/>
        </w:rPr>
        <w:t>TRANSPORT</w:t>
      </w:r>
    </w:p>
    <w:p w14:paraId="4944230A" w14:textId="77777777" w:rsidR="0047162B" w:rsidRPr="0047162B" w:rsidRDefault="0047162B" w:rsidP="0047162B">
      <w:pPr>
        <w:spacing w:after="0"/>
        <w:jc w:val="both"/>
        <w:rPr>
          <w:rFonts w:cs="Calibri"/>
          <w:bCs/>
        </w:rPr>
      </w:pPr>
      <w:r w:rsidRPr="0047162B">
        <w:rPr>
          <w:rFonts w:cs="Calibri"/>
          <w:bCs/>
        </w:rPr>
        <w:t>Ogólne wymagania dotyczące transportu podano w „Wymaganiach ogólnych”.</w:t>
      </w:r>
    </w:p>
    <w:p w14:paraId="0431E8FE" w14:textId="630A833C" w:rsidR="0047162B" w:rsidRDefault="0047162B" w:rsidP="002A2BF3">
      <w:pPr>
        <w:spacing w:after="0"/>
        <w:jc w:val="both"/>
        <w:rPr>
          <w:rFonts w:cs="Calibri"/>
          <w:bCs/>
        </w:rPr>
      </w:pPr>
      <w:r w:rsidRPr="0047162B">
        <w:rPr>
          <w:rFonts w:cs="Calibri"/>
          <w:bCs/>
        </w:rPr>
        <w:t>Zasady składowania wyrobów ceramicznych zostały opisane w normie PN-B-12030:1996.</w:t>
      </w:r>
      <w:r w:rsidRPr="0047162B">
        <w:rPr>
          <w:rFonts w:cs="Calibri"/>
          <w:bCs/>
        </w:rPr>
        <w:br/>
      </w:r>
      <w:proofErr w:type="spellStart"/>
      <w:r w:rsidR="002A2BF3">
        <w:rPr>
          <w:rFonts w:cs="Calibri"/>
          <w:bCs/>
        </w:rPr>
        <w:t>Pystaki</w:t>
      </w:r>
      <w:proofErr w:type="spellEnd"/>
      <w:r w:rsidRPr="0047162B">
        <w:rPr>
          <w:rFonts w:cs="Calibri"/>
          <w:bCs/>
        </w:rPr>
        <w:t xml:space="preserve"> powinny być dostarczone na budowę na paletach. W trakcie transportu powinny być zabezpieczone przed rozsypaniem, opadami atmosferycznymi, zawilgoceniem, uszkodzeniem. Miejsce przeznaczone na przechowywanie powinno być wyrównane, oczyszczone, wolne od wód powierzchniowych i śniegu. </w:t>
      </w:r>
    </w:p>
    <w:p w14:paraId="09C4065C" w14:textId="06D1BE2C" w:rsidR="0047162B" w:rsidRPr="0047162B" w:rsidRDefault="0047162B" w:rsidP="0047162B">
      <w:pPr>
        <w:spacing w:after="0"/>
        <w:jc w:val="both"/>
        <w:rPr>
          <w:rFonts w:cs="Calibri"/>
          <w:bCs/>
        </w:rPr>
      </w:pPr>
      <w:r w:rsidRPr="0047162B">
        <w:rPr>
          <w:rFonts w:cs="Calibri"/>
          <w:bCs/>
        </w:rPr>
        <w:t>Wyroby należy chronić folią przed zawilgoceniem.</w:t>
      </w:r>
    </w:p>
    <w:p w14:paraId="40349FBC" w14:textId="77777777" w:rsidR="0047162B" w:rsidRPr="0047162B" w:rsidRDefault="0047162B" w:rsidP="0047162B">
      <w:pPr>
        <w:spacing w:after="0"/>
        <w:jc w:val="both"/>
        <w:rPr>
          <w:rFonts w:cs="Calibri"/>
          <w:bCs/>
        </w:rPr>
      </w:pPr>
      <w:r w:rsidRPr="0047162B">
        <w:rPr>
          <w:rFonts w:cs="Calibri"/>
          <w:bCs/>
        </w:rPr>
        <w:t xml:space="preserve">Belki nadprożowe mogą być transportowane na budowę, gdy osiągną wytrzymałość na ściskanie wynoszącą 0,7 </w:t>
      </w:r>
      <w:proofErr w:type="spellStart"/>
      <w:r w:rsidRPr="0047162B">
        <w:rPr>
          <w:rFonts w:cs="Calibri"/>
          <w:bCs/>
        </w:rPr>
        <w:t>Rw</w:t>
      </w:r>
      <w:proofErr w:type="spellEnd"/>
      <w:r w:rsidRPr="0047162B">
        <w:rPr>
          <w:rFonts w:cs="Calibri"/>
          <w:bCs/>
        </w:rPr>
        <w:t>. Transport i składowanie belek powinno być w pozycji analogicznej do ich wbudowania. Poszczególne warstwy belek w stosie powinny być przedzielone przekładkami drewnianymi.</w:t>
      </w:r>
    </w:p>
    <w:p w14:paraId="3DE0BE7F" w14:textId="77777777" w:rsidR="0047162B" w:rsidRDefault="0047162B" w:rsidP="0047162B">
      <w:pPr>
        <w:spacing w:after="0"/>
        <w:jc w:val="both"/>
        <w:rPr>
          <w:rFonts w:cs="Calibri"/>
          <w:bCs/>
        </w:rPr>
      </w:pPr>
      <w:r w:rsidRPr="0047162B">
        <w:rPr>
          <w:rFonts w:cs="Calibri"/>
          <w:bCs/>
        </w:rPr>
        <w:t>Wykonawca jest zobowiązany do stosowania jedynie takich środków transportu, które nie wpłyną niekorzystnie na jakość transportowanych materiałów. Materiały przewożone na środkach transportu powinny być zabezpieczone przed ich przemieszczeniem i układane zgodnie z warunkami transportu wydanymi przez ich wytwórcę.</w:t>
      </w:r>
    </w:p>
    <w:p w14:paraId="71F8E7C0" w14:textId="77777777" w:rsidR="0047162B" w:rsidRDefault="0047162B" w:rsidP="00AC78A4">
      <w:pPr>
        <w:spacing w:after="0"/>
        <w:jc w:val="both"/>
        <w:rPr>
          <w:rFonts w:cs="Calibri"/>
          <w:bCs/>
        </w:rPr>
      </w:pPr>
    </w:p>
    <w:p w14:paraId="74DF93E1" w14:textId="77777777" w:rsidR="00AF1E89" w:rsidRPr="00AF1E89" w:rsidRDefault="00AF1E89" w:rsidP="00ED6934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AF1E89">
        <w:rPr>
          <w:rFonts w:cs="Calibri"/>
          <w:b/>
          <w:bCs/>
        </w:rPr>
        <w:t>WYKONYWANIE ROBÓT</w:t>
      </w:r>
    </w:p>
    <w:p w14:paraId="40390491" w14:textId="77777777" w:rsidR="00AF1E89" w:rsidRPr="00AF1E89" w:rsidRDefault="00AF1E89" w:rsidP="00AF1E89">
      <w:pPr>
        <w:spacing w:after="0"/>
        <w:jc w:val="both"/>
        <w:rPr>
          <w:rFonts w:cs="Calibri"/>
          <w:b/>
          <w:bCs/>
        </w:rPr>
      </w:pPr>
      <w:r w:rsidRPr="00AF1E89">
        <w:rPr>
          <w:rFonts w:cs="Calibri"/>
          <w:b/>
          <w:bCs/>
        </w:rPr>
        <w:t xml:space="preserve">Prace przygotowawcze. </w:t>
      </w:r>
    </w:p>
    <w:p w14:paraId="667102D1" w14:textId="77777777" w:rsidR="00AF1E89" w:rsidRDefault="00AF1E89" w:rsidP="00AF1E89">
      <w:pPr>
        <w:spacing w:after="0"/>
        <w:jc w:val="both"/>
        <w:rPr>
          <w:rFonts w:cs="Calibri"/>
          <w:bCs/>
        </w:rPr>
      </w:pPr>
      <w:r w:rsidRPr="00AF1E89">
        <w:rPr>
          <w:rFonts w:cs="Calibri"/>
          <w:bCs/>
        </w:rPr>
        <w:t xml:space="preserve">Przed rozpoczęciem robót murowych należy przeprowadzić kontrolę zgodności wykonania elementów konstrukcyjnych z dokumentacja projektową, zgodności usytuowania, wymiarów i kątów skrzyżowań ścian, zgodności właściwości elementów murowych i zapraw z ustaleniami projektowymi. Sprawdzić należy w projekcie konstrukcyjnym założenia dotyczące przyjętej kategorii wykonania robót murowych oraz kategorii elementów murowych. </w:t>
      </w:r>
    </w:p>
    <w:p w14:paraId="18860B75" w14:textId="77777777" w:rsidR="00AF1E89" w:rsidRPr="00AF1E89" w:rsidRDefault="00AF1E89" w:rsidP="00AF1E89">
      <w:pPr>
        <w:spacing w:after="0"/>
        <w:jc w:val="both"/>
        <w:rPr>
          <w:rFonts w:cs="Calibri"/>
          <w:bCs/>
        </w:rPr>
      </w:pPr>
      <w:r w:rsidRPr="00AF1E89">
        <w:rPr>
          <w:rFonts w:cs="Calibri"/>
          <w:bCs/>
        </w:rPr>
        <w:t xml:space="preserve">W przypadku sytuacji, w której przyjęte w projekcie założenia są korzystniejsze od zaistniałych na budowie, konieczna jest analiza stanu bezpieczeństwa konstrukcji dla nowych warunków wykonana przez projektanta konstrukcji. Sprawdzić należy ponadto jakość elementów murowych i zapraw, wymagając od producentów certyfikatów jakości lub deklaracji zgodności. </w:t>
      </w:r>
    </w:p>
    <w:p w14:paraId="697240D2" w14:textId="77777777" w:rsidR="00AF1E89" w:rsidRPr="00AF1E89" w:rsidRDefault="00AF1E89" w:rsidP="00AF1E89">
      <w:pPr>
        <w:spacing w:after="0"/>
        <w:jc w:val="both"/>
        <w:rPr>
          <w:rFonts w:cs="Calibri"/>
          <w:bCs/>
        </w:rPr>
      </w:pPr>
      <w:r w:rsidRPr="00AF1E89">
        <w:rPr>
          <w:rFonts w:cs="Calibri"/>
          <w:bCs/>
        </w:rPr>
        <w:t>Przed przystąpieniem do robót należy ustalić punkty pomiarowe zgodne z przyjętą osnową geodezyjną, stanowiące przestrzenny układ odniesienia do określania usytuowania elementów konstrukcji zgodnie z PN-87/N-02351 i PN-74/N-02211. Punkty pomiarowe powinny być zabezpieczone przed uszkodzeniem lub zniszczeniem. Zakłada się możliwość korzystania z punktów osnowy wytyczonych dla elementów głównego układu nośnego budynku - siatki słupów.</w:t>
      </w:r>
    </w:p>
    <w:p w14:paraId="5F2DB6C4" w14:textId="77777777" w:rsidR="00AF1E89" w:rsidRPr="00AF1E89" w:rsidRDefault="00AF1E89" w:rsidP="00AF1E89">
      <w:pPr>
        <w:spacing w:after="0"/>
        <w:jc w:val="both"/>
        <w:rPr>
          <w:rFonts w:cs="Calibri"/>
          <w:bCs/>
        </w:rPr>
      </w:pPr>
      <w:r w:rsidRPr="00AF1E89">
        <w:rPr>
          <w:rFonts w:cs="Calibri"/>
          <w:bCs/>
        </w:rPr>
        <w:t>Przed przystąpieniem do robót zasadniczych następujące prace przygotowawcze:</w:t>
      </w:r>
    </w:p>
    <w:p w14:paraId="77C96E6B" w14:textId="77777777" w:rsidR="00AF1E89" w:rsidRPr="00AF1E89" w:rsidRDefault="00AF1E89" w:rsidP="00AF1E89">
      <w:pPr>
        <w:spacing w:after="0"/>
        <w:jc w:val="both"/>
        <w:rPr>
          <w:rFonts w:cs="Calibri"/>
          <w:bCs/>
        </w:rPr>
      </w:pPr>
      <w:r w:rsidRPr="00AF1E89">
        <w:rPr>
          <w:rFonts w:cs="Calibri"/>
          <w:bCs/>
        </w:rPr>
        <w:t>prace geodezyjne związane z wyznaczeniem zakresu robót, wykonanie  niezbędnych  dróg  tymczasowych,  zasilania w energię  elektryczną i wodę oraz odprowadzenia ścieków, dostarczenie na teren budowy niezbędnych materiałów, urządzeń i sprzętu budowlanego w przypadku przygotowywania zapraw murarskich na placu budowy zorganizowanie węzła do przygotowywania zapraw z wyposażeniem zapewniającym wymagane warunki magazynowani i dozowania składników zapraw.</w:t>
      </w:r>
    </w:p>
    <w:p w14:paraId="059DEA52" w14:textId="77777777" w:rsidR="00AC1E20" w:rsidRPr="00BF72CE" w:rsidRDefault="004A4233" w:rsidP="00AC1E20">
      <w:p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Roboty murowe</w:t>
      </w:r>
    </w:p>
    <w:p w14:paraId="1633118D" w14:textId="77777777" w:rsidR="00AC1E20" w:rsidRPr="00AC1E20" w:rsidRDefault="00AC1E20" w:rsidP="00AC1E20">
      <w:pPr>
        <w:spacing w:after="0"/>
        <w:jc w:val="both"/>
        <w:rPr>
          <w:rFonts w:cs="Calibri"/>
          <w:bCs/>
        </w:rPr>
      </w:pPr>
      <w:r w:rsidRPr="00AC1E20">
        <w:rPr>
          <w:rFonts w:cs="Calibri"/>
          <w:bCs/>
        </w:rPr>
        <w:t>Przy murowaniu ścian, ścianek działowych i pozostałych elementów nale</w:t>
      </w:r>
      <w:r>
        <w:rPr>
          <w:rFonts w:cs="Calibri"/>
          <w:bCs/>
        </w:rPr>
        <w:t>ż</w:t>
      </w:r>
      <w:r w:rsidR="005276AC">
        <w:rPr>
          <w:rFonts w:cs="Calibri"/>
          <w:bCs/>
        </w:rPr>
        <w:t>y</w:t>
      </w:r>
      <w:r w:rsidRPr="00AC1E20">
        <w:rPr>
          <w:rFonts w:cs="Calibri"/>
          <w:bCs/>
        </w:rPr>
        <w:t xml:space="preserve"> przestrzegać zasad podanych w</w:t>
      </w:r>
      <w:r w:rsidR="004A4233">
        <w:rPr>
          <w:rFonts w:cs="Calibri"/>
          <w:bCs/>
        </w:rPr>
        <w:t>e</w:t>
      </w:r>
      <w:r w:rsidRPr="00AC1E20">
        <w:rPr>
          <w:rFonts w:cs="Calibri"/>
          <w:bCs/>
        </w:rPr>
        <w:t xml:space="preserve"> </w:t>
      </w:r>
      <w:r w:rsidR="004A4233">
        <w:rPr>
          <w:rFonts w:cs="Calibri"/>
          <w:bCs/>
        </w:rPr>
        <w:t>właściwych normach.</w:t>
      </w:r>
    </w:p>
    <w:p w14:paraId="403505D2" w14:textId="77777777" w:rsidR="00AC1E20" w:rsidRPr="00AC1E20" w:rsidRDefault="00AC1E20" w:rsidP="00AC1E20">
      <w:pPr>
        <w:spacing w:after="0"/>
        <w:jc w:val="both"/>
        <w:rPr>
          <w:rFonts w:cs="Calibri"/>
          <w:bCs/>
        </w:rPr>
      </w:pPr>
      <w:r w:rsidRPr="00AC1E20">
        <w:rPr>
          <w:rFonts w:cs="Calibri"/>
          <w:bCs/>
        </w:rPr>
        <w:lastRenderedPageBreak/>
        <w:t>Elementy murowe, zaprawy budowlane i elementy uzupełniające powinny być przed wbudowaniem</w:t>
      </w:r>
      <w:r>
        <w:rPr>
          <w:rFonts w:cs="Calibri"/>
          <w:bCs/>
        </w:rPr>
        <w:t xml:space="preserve"> </w:t>
      </w:r>
      <w:r w:rsidRPr="00AC1E20">
        <w:rPr>
          <w:rFonts w:cs="Calibri"/>
          <w:bCs/>
        </w:rPr>
        <w:t>ocenione wzrokowo przez murarza. Wyroby o złej jakości</w:t>
      </w:r>
      <w:r>
        <w:rPr>
          <w:rFonts w:cs="Calibri"/>
          <w:bCs/>
        </w:rPr>
        <w:t xml:space="preserve"> należy zamienić</w:t>
      </w:r>
      <w:r w:rsidRPr="00AC1E20">
        <w:rPr>
          <w:rFonts w:cs="Calibri"/>
          <w:bCs/>
        </w:rPr>
        <w:t xml:space="preserve"> na inne.</w:t>
      </w:r>
    </w:p>
    <w:p w14:paraId="4D2D1A96" w14:textId="25597D8C" w:rsidR="00AC1E20" w:rsidRPr="00AC1E20" w:rsidRDefault="002A2BF3" w:rsidP="00AC1E2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Pustaki</w:t>
      </w:r>
      <w:r w:rsidR="00AC1E20" w:rsidRPr="00AC1E20">
        <w:rPr>
          <w:rFonts w:cs="Calibri"/>
          <w:bCs/>
        </w:rPr>
        <w:t xml:space="preserve"> układane na zaprawie powinny być czyste i wolne od kurzu. </w:t>
      </w:r>
    </w:p>
    <w:p w14:paraId="5661C967" w14:textId="77777777" w:rsidR="00AC1E20" w:rsidRPr="00AC1E20" w:rsidRDefault="00AC1E20" w:rsidP="00AC1E20">
      <w:pPr>
        <w:spacing w:after="0"/>
        <w:jc w:val="both"/>
        <w:rPr>
          <w:rFonts w:cs="Calibri"/>
          <w:bCs/>
        </w:rPr>
      </w:pPr>
      <w:r w:rsidRPr="00AC1E20">
        <w:rPr>
          <w:rFonts w:cs="Calibri"/>
          <w:bCs/>
        </w:rPr>
        <w:t>Przygotowanie zaprawy do murowania wykonać zgodnie z instrukcja producenta zaprawy w ilościach</w:t>
      </w:r>
      <w:r>
        <w:rPr>
          <w:rFonts w:cs="Calibri"/>
          <w:bCs/>
        </w:rPr>
        <w:t xml:space="preserve"> </w:t>
      </w:r>
      <w:r w:rsidRPr="00AC1E20">
        <w:rPr>
          <w:rFonts w:cs="Calibri"/>
          <w:bCs/>
        </w:rPr>
        <w:t xml:space="preserve">zalecanych przez producenta. Niewykorzystanej zaprawy nie wolno </w:t>
      </w:r>
      <w:r w:rsidR="00D164D1" w:rsidRPr="00AC1E20">
        <w:rPr>
          <w:rFonts w:cs="Calibri"/>
          <w:bCs/>
        </w:rPr>
        <w:t>u</w:t>
      </w:r>
      <w:r w:rsidR="00D164D1">
        <w:rPr>
          <w:rFonts w:cs="Calibri"/>
          <w:bCs/>
        </w:rPr>
        <w:t>ż</w:t>
      </w:r>
      <w:r w:rsidR="00D164D1" w:rsidRPr="00AC1E20">
        <w:rPr>
          <w:rFonts w:cs="Calibri"/>
          <w:bCs/>
        </w:rPr>
        <w:t>yć</w:t>
      </w:r>
      <w:r w:rsidRPr="00AC1E20">
        <w:rPr>
          <w:rFonts w:cs="Calibri"/>
          <w:bCs/>
        </w:rPr>
        <w:t xml:space="preserve"> do wznoszenie murów.</w:t>
      </w:r>
    </w:p>
    <w:p w14:paraId="23B7FC22" w14:textId="77777777" w:rsidR="00AC1E20" w:rsidRPr="00AC1E20" w:rsidRDefault="00AC1E20" w:rsidP="00AC1E20">
      <w:pPr>
        <w:spacing w:after="0"/>
        <w:jc w:val="both"/>
        <w:rPr>
          <w:rFonts w:cs="Calibri"/>
          <w:bCs/>
        </w:rPr>
      </w:pPr>
      <w:r w:rsidRPr="00AC1E20">
        <w:rPr>
          <w:rFonts w:cs="Calibri"/>
          <w:bCs/>
        </w:rPr>
        <w:t xml:space="preserve">W nowych murach </w:t>
      </w:r>
      <w:r w:rsidR="00D164D1" w:rsidRPr="00AC1E20">
        <w:rPr>
          <w:rFonts w:cs="Calibri"/>
          <w:bCs/>
        </w:rPr>
        <w:t>osadzić</w:t>
      </w:r>
      <w:r w:rsidRPr="00AC1E20">
        <w:rPr>
          <w:rFonts w:cs="Calibri"/>
          <w:bCs/>
        </w:rPr>
        <w:t xml:space="preserve"> nad</w:t>
      </w:r>
      <w:r w:rsidR="00D164D1">
        <w:rPr>
          <w:rFonts w:cs="Calibri"/>
          <w:bCs/>
        </w:rPr>
        <w:t xml:space="preserve"> projektowanymi otworami nadproż</w:t>
      </w:r>
      <w:r w:rsidRPr="00AC1E20">
        <w:rPr>
          <w:rFonts w:cs="Calibri"/>
          <w:bCs/>
        </w:rPr>
        <w:t>a prefabrykowane.</w:t>
      </w:r>
    </w:p>
    <w:p w14:paraId="64505B93" w14:textId="77777777" w:rsidR="00AC1E20" w:rsidRPr="00AC1E20" w:rsidRDefault="00D164D1" w:rsidP="00AC1E2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M</w:t>
      </w:r>
      <w:r w:rsidR="00AC1E20" w:rsidRPr="00AC1E20">
        <w:rPr>
          <w:rFonts w:cs="Calibri"/>
          <w:bCs/>
        </w:rPr>
        <w:t xml:space="preserve">ury </w:t>
      </w:r>
      <w:r w:rsidRPr="00AC1E20">
        <w:rPr>
          <w:rFonts w:cs="Calibri"/>
          <w:bCs/>
        </w:rPr>
        <w:t>wykonywać</w:t>
      </w:r>
      <w:r w:rsidR="00AC1E20" w:rsidRPr="00AC1E20">
        <w:rPr>
          <w:rFonts w:cs="Calibri"/>
          <w:bCs/>
        </w:rPr>
        <w:t xml:space="preserve"> warstwami z zachowaniem prawidłowego </w:t>
      </w:r>
      <w:r w:rsidRPr="00AC1E20">
        <w:rPr>
          <w:rFonts w:cs="Calibri"/>
          <w:bCs/>
        </w:rPr>
        <w:t>wiązania</w:t>
      </w:r>
      <w:r w:rsidR="00AC1E20" w:rsidRPr="00AC1E20">
        <w:rPr>
          <w:rFonts w:cs="Calibri"/>
          <w:bCs/>
        </w:rPr>
        <w:t xml:space="preserve"> i </w:t>
      </w:r>
      <w:r w:rsidRPr="00AC1E20">
        <w:rPr>
          <w:rFonts w:cs="Calibri"/>
          <w:bCs/>
        </w:rPr>
        <w:t>grubości</w:t>
      </w:r>
      <w:r w:rsidR="00AC1E20" w:rsidRPr="00AC1E20">
        <w:rPr>
          <w:rFonts w:cs="Calibri"/>
          <w:bCs/>
        </w:rPr>
        <w:t xml:space="preserve"> spoin z zachowaniem</w:t>
      </w:r>
      <w:r>
        <w:rPr>
          <w:rFonts w:cs="Calibri"/>
          <w:bCs/>
        </w:rPr>
        <w:t xml:space="preserve"> </w:t>
      </w:r>
      <w:r w:rsidRPr="00AC1E20">
        <w:rPr>
          <w:rFonts w:cs="Calibri"/>
          <w:bCs/>
        </w:rPr>
        <w:t>zgodności</w:t>
      </w:r>
      <w:r w:rsidR="00AC1E20" w:rsidRPr="00AC1E20">
        <w:rPr>
          <w:rFonts w:cs="Calibri"/>
          <w:bCs/>
        </w:rPr>
        <w:t xml:space="preserve"> z rysunkiem, co do odsadzek, otworów, szczelin wentylacyjnych itp.</w:t>
      </w:r>
    </w:p>
    <w:p w14:paraId="79D5F6B8" w14:textId="77777777" w:rsidR="00AC1E20" w:rsidRPr="00AC1E20" w:rsidRDefault="00AC1E20" w:rsidP="00AC1E20">
      <w:pPr>
        <w:spacing w:after="0"/>
        <w:jc w:val="both"/>
        <w:rPr>
          <w:rFonts w:cs="Calibri"/>
          <w:bCs/>
        </w:rPr>
      </w:pPr>
      <w:r w:rsidRPr="00AC1E20">
        <w:rPr>
          <w:rFonts w:cs="Calibri"/>
          <w:bCs/>
        </w:rPr>
        <w:t xml:space="preserve">W pierwszej </w:t>
      </w:r>
      <w:r w:rsidR="00D164D1" w:rsidRPr="00AC1E20">
        <w:rPr>
          <w:rFonts w:cs="Calibri"/>
          <w:bCs/>
        </w:rPr>
        <w:t>kolejności</w:t>
      </w:r>
      <w:r w:rsidRPr="00AC1E20">
        <w:rPr>
          <w:rFonts w:cs="Calibri"/>
          <w:bCs/>
        </w:rPr>
        <w:t xml:space="preserve"> nale</w:t>
      </w:r>
      <w:r w:rsidR="00D164D1">
        <w:rPr>
          <w:rFonts w:cs="Calibri"/>
          <w:bCs/>
        </w:rPr>
        <w:t>ż</w:t>
      </w:r>
      <w:r w:rsidRPr="00AC1E20">
        <w:rPr>
          <w:rFonts w:cs="Calibri"/>
          <w:bCs/>
        </w:rPr>
        <w:t xml:space="preserve">y </w:t>
      </w:r>
      <w:r w:rsidR="00D164D1" w:rsidRPr="00AC1E20">
        <w:rPr>
          <w:rFonts w:cs="Calibri"/>
          <w:bCs/>
        </w:rPr>
        <w:t>wykonywać</w:t>
      </w:r>
      <w:r w:rsidRPr="00AC1E20">
        <w:rPr>
          <w:rFonts w:cs="Calibri"/>
          <w:bCs/>
        </w:rPr>
        <w:t xml:space="preserve"> mury </w:t>
      </w:r>
      <w:r w:rsidR="00D164D1" w:rsidRPr="00AC1E20">
        <w:rPr>
          <w:rFonts w:cs="Calibri"/>
          <w:bCs/>
        </w:rPr>
        <w:t>nośne</w:t>
      </w:r>
      <w:r w:rsidRPr="00AC1E20">
        <w:rPr>
          <w:rFonts w:cs="Calibri"/>
          <w:bCs/>
        </w:rPr>
        <w:t xml:space="preserve"> i słupy.</w:t>
      </w:r>
    </w:p>
    <w:p w14:paraId="2066F0F9" w14:textId="77777777" w:rsidR="00AC1E20" w:rsidRPr="00AC1E20" w:rsidRDefault="00D164D1" w:rsidP="00AC1E2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Mury należ</w:t>
      </w:r>
      <w:r w:rsidR="00AC1E20" w:rsidRPr="00AC1E20">
        <w:rPr>
          <w:rFonts w:cs="Calibri"/>
          <w:bCs/>
        </w:rPr>
        <w:t xml:space="preserve">y </w:t>
      </w:r>
      <w:r w:rsidRPr="00AC1E20">
        <w:rPr>
          <w:rFonts w:cs="Calibri"/>
          <w:bCs/>
        </w:rPr>
        <w:t>wznosić</w:t>
      </w:r>
      <w:r w:rsidR="00AC1E20" w:rsidRPr="00AC1E20">
        <w:rPr>
          <w:rFonts w:cs="Calibri"/>
          <w:bCs/>
        </w:rPr>
        <w:t xml:space="preserve"> mo</w:t>
      </w:r>
      <w:r>
        <w:rPr>
          <w:rFonts w:cs="Calibri"/>
          <w:bCs/>
        </w:rPr>
        <w:t>ż</w:t>
      </w:r>
      <w:r w:rsidR="00AC1E20" w:rsidRPr="00AC1E20">
        <w:rPr>
          <w:rFonts w:cs="Calibri"/>
          <w:bCs/>
        </w:rPr>
        <w:t xml:space="preserve">liwie równomiernie na całej ich </w:t>
      </w:r>
      <w:r w:rsidRPr="00AC1E20">
        <w:rPr>
          <w:rFonts w:cs="Calibri"/>
          <w:bCs/>
        </w:rPr>
        <w:t>długości</w:t>
      </w:r>
      <w:r w:rsidR="00AC1E20" w:rsidRPr="00AC1E20">
        <w:rPr>
          <w:rFonts w:cs="Calibri"/>
          <w:bCs/>
        </w:rPr>
        <w:t>. Ró</w:t>
      </w:r>
      <w:r>
        <w:rPr>
          <w:rFonts w:cs="Calibri"/>
          <w:bCs/>
        </w:rPr>
        <w:t>ż</w:t>
      </w:r>
      <w:r w:rsidR="00AC1E20" w:rsidRPr="00AC1E20">
        <w:rPr>
          <w:rFonts w:cs="Calibri"/>
          <w:bCs/>
        </w:rPr>
        <w:t>nica poziomów poszczególnych</w:t>
      </w:r>
      <w:r>
        <w:rPr>
          <w:rFonts w:cs="Calibri"/>
          <w:bCs/>
        </w:rPr>
        <w:t xml:space="preserve"> </w:t>
      </w:r>
      <w:r w:rsidRPr="00AC1E20">
        <w:rPr>
          <w:rFonts w:cs="Calibri"/>
          <w:bCs/>
        </w:rPr>
        <w:t>części</w:t>
      </w:r>
      <w:r w:rsidR="00AC1E20" w:rsidRPr="00AC1E20">
        <w:rPr>
          <w:rFonts w:cs="Calibri"/>
          <w:bCs/>
        </w:rPr>
        <w:t xml:space="preserve"> murów z cegły nie powinna </w:t>
      </w:r>
      <w:r w:rsidRPr="00AC1E20">
        <w:rPr>
          <w:rFonts w:cs="Calibri"/>
          <w:bCs/>
        </w:rPr>
        <w:t>przekraczać</w:t>
      </w:r>
      <w:r w:rsidR="00AC1E20" w:rsidRPr="00AC1E20">
        <w:rPr>
          <w:rFonts w:cs="Calibri"/>
          <w:bCs/>
        </w:rPr>
        <w:t xml:space="preserve"> 4,0 m.</w:t>
      </w:r>
    </w:p>
    <w:p w14:paraId="28374B50" w14:textId="77777777" w:rsidR="00AC1E20" w:rsidRPr="00AC1E20" w:rsidRDefault="00AC1E20" w:rsidP="00AC1E20">
      <w:pPr>
        <w:spacing w:after="0"/>
        <w:jc w:val="both"/>
        <w:rPr>
          <w:rFonts w:cs="Calibri"/>
          <w:bCs/>
        </w:rPr>
      </w:pPr>
      <w:r w:rsidRPr="00AC1E20">
        <w:rPr>
          <w:rFonts w:cs="Calibri"/>
          <w:bCs/>
        </w:rPr>
        <w:t xml:space="preserve">W przypadku </w:t>
      </w:r>
      <w:r w:rsidR="00D164D1" w:rsidRPr="00AC1E20">
        <w:rPr>
          <w:rFonts w:cs="Calibri"/>
          <w:bCs/>
        </w:rPr>
        <w:t>konieczności</w:t>
      </w:r>
      <w:r w:rsidRPr="00AC1E20">
        <w:rPr>
          <w:rFonts w:cs="Calibri"/>
          <w:bCs/>
        </w:rPr>
        <w:t xml:space="preserve"> zastosowania </w:t>
      </w:r>
      <w:r w:rsidR="00D164D1" w:rsidRPr="00AC1E20">
        <w:rPr>
          <w:rFonts w:cs="Calibri"/>
          <w:bCs/>
        </w:rPr>
        <w:t>większej</w:t>
      </w:r>
      <w:r w:rsidRPr="00AC1E20">
        <w:rPr>
          <w:rFonts w:cs="Calibri"/>
          <w:bCs/>
        </w:rPr>
        <w:t xml:space="preserve"> ró</w:t>
      </w:r>
      <w:r w:rsidR="00D164D1">
        <w:rPr>
          <w:rFonts w:cs="Calibri"/>
          <w:bCs/>
        </w:rPr>
        <w:t>ż</w:t>
      </w:r>
      <w:r w:rsidRPr="00AC1E20">
        <w:rPr>
          <w:rFonts w:cs="Calibri"/>
          <w:bCs/>
        </w:rPr>
        <w:t>nicy w</w:t>
      </w:r>
      <w:r w:rsidR="00D164D1">
        <w:rPr>
          <w:rFonts w:cs="Calibri"/>
          <w:bCs/>
        </w:rPr>
        <w:t xml:space="preserve"> poziomach wznoszonych murów niż</w:t>
      </w:r>
      <w:r w:rsidRPr="00AC1E20">
        <w:rPr>
          <w:rFonts w:cs="Calibri"/>
          <w:bCs/>
        </w:rPr>
        <w:t xml:space="preserve"> 4 m,</w:t>
      </w:r>
      <w:r w:rsidR="00D164D1">
        <w:rPr>
          <w:rFonts w:cs="Calibri"/>
          <w:bCs/>
        </w:rPr>
        <w:t xml:space="preserve"> </w:t>
      </w:r>
      <w:r w:rsidRPr="00AC1E20">
        <w:rPr>
          <w:rFonts w:cs="Calibri"/>
          <w:bCs/>
        </w:rPr>
        <w:t>nale</w:t>
      </w:r>
      <w:r w:rsidR="00D164D1">
        <w:rPr>
          <w:rFonts w:cs="Calibri"/>
          <w:bCs/>
        </w:rPr>
        <w:t>ż</w:t>
      </w:r>
      <w:r w:rsidRPr="00AC1E20">
        <w:rPr>
          <w:rFonts w:cs="Calibri"/>
          <w:bCs/>
        </w:rPr>
        <w:t xml:space="preserve">y </w:t>
      </w:r>
      <w:r w:rsidR="00D164D1" w:rsidRPr="00AC1E20">
        <w:rPr>
          <w:rFonts w:cs="Calibri"/>
          <w:bCs/>
        </w:rPr>
        <w:t>zastosować</w:t>
      </w:r>
      <w:r w:rsidRPr="00AC1E20">
        <w:rPr>
          <w:rFonts w:cs="Calibri"/>
          <w:bCs/>
        </w:rPr>
        <w:t xml:space="preserve"> przerwy dylatacyjne.</w:t>
      </w:r>
    </w:p>
    <w:p w14:paraId="6C510125" w14:textId="77777777" w:rsidR="00AC1E20" w:rsidRPr="00AC1E20" w:rsidRDefault="00D164D1" w:rsidP="00AC1E20">
      <w:pPr>
        <w:spacing w:after="0"/>
        <w:jc w:val="both"/>
        <w:rPr>
          <w:rFonts w:cs="Calibri"/>
          <w:bCs/>
        </w:rPr>
      </w:pPr>
      <w:r w:rsidRPr="00AC1E20">
        <w:rPr>
          <w:rFonts w:cs="Calibri"/>
          <w:bCs/>
        </w:rPr>
        <w:t>Wnęki</w:t>
      </w:r>
      <w:r w:rsidR="00AC1E20" w:rsidRPr="00AC1E20">
        <w:rPr>
          <w:rFonts w:cs="Calibri"/>
          <w:bCs/>
        </w:rPr>
        <w:t xml:space="preserve"> i bruzdy instalacyjne nale</w:t>
      </w:r>
      <w:r>
        <w:rPr>
          <w:rFonts w:cs="Calibri"/>
          <w:bCs/>
        </w:rPr>
        <w:t>ż</w:t>
      </w:r>
      <w:r w:rsidR="00AC1E20" w:rsidRPr="00AC1E20">
        <w:rPr>
          <w:rFonts w:cs="Calibri"/>
          <w:bCs/>
        </w:rPr>
        <w:t xml:space="preserve">y </w:t>
      </w:r>
      <w:r w:rsidRPr="00AC1E20">
        <w:rPr>
          <w:rFonts w:cs="Calibri"/>
          <w:bCs/>
        </w:rPr>
        <w:t>wykonywać</w:t>
      </w:r>
      <w:r w:rsidR="00AC1E20" w:rsidRPr="00AC1E20">
        <w:rPr>
          <w:rFonts w:cs="Calibri"/>
          <w:bCs/>
        </w:rPr>
        <w:t xml:space="preserve"> </w:t>
      </w:r>
      <w:r w:rsidRPr="00AC1E20">
        <w:rPr>
          <w:rFonts w:cs="Calibri"/>
          <w:bCs/>
        </w:rPr>
        <w:t>jednocześnie</w:t>
      </w:r>
      <w:r w:rsidR="00AC1E20" w:rsidRPr="00AC1E20">
        <w:rPr>
          <w:rFonts w:cs="Calibri"/>
          <w:bCs/>
        </w:rPr>
        <w:t xml:space="preserve"> ze wznoszeniem murów.</w:t>
      </w:r>
    </w:p>
    <w:p w14:paraId="7AA5D469" w14:textId="77777777" w:rsidR="00AC1E20" w:rsidRPr="00D164D1" w:rsidRDefault="00AC1E20" w:rsidP="00AC1E20">
      <w:pPr>
        <w:spacing w:after="0"/>
        <w:jc w:val="both"/>
        <w:rPr>
          <w:rFonts w:cs="Calibri"/>
          <w:bCs/>
        </w:rPr>
      </w:pPr>
      <w:r w:rsidRPr="00D164D1">
        <w:rPr>
          <w:rFonts w:cs="Calibri"/>
          <w:bCs/>
        </w:rPr>
        <w:t xml:space="preserve">Konstrukcje murowe </w:t>
      </w:r>
      <w:r w:rsidR="00D164D1" w:rsidRPr="00D164D1">
        <w:rPr>
          <w:rFonts w:cs="Calibri"/>
          <w:bCs/>
        </w:rPr>
        <w:t>grubości</w:t>
      </w:r>
      <w:r w:rsidRPr="00D164D1">
        <w:rPr>
          <w:rFonts w:cs="Calibri"/>
          <w:bCs/>
        </w:rPr>
        <w:t xml:space="preserve"> mniejszej ni</w:t>
      </w:r>
      <w:r w:rsidR="00D164D1" w:rsidRPr="00D164D1">
        <w:rPr>
          <w:rFonts w:cs="Calibri"/>
          <w:bCs/>
        </w:rPr>
        <w:t>ż</w:t>
      </w:r>
      <w:r w:rsidRPr="00D164D1">
        <w:rPr>
          <w:rFonts w:cs="Calibri"/>
          <w:bCs/>
        </w:rPr>
        <w:t xml:space="preserve"> 1 cegła musz</w:t>
      </w:r>
      <w:r w:rsidR="00D164D1" w:rsidRPr="00D164D1">
        <w:rPr>
          <w:rFonts w:cs="Calibri"/>
          <w:bCs/>
        </w:rPr>
        <w:t>ą</w:t>
      </w:r>
      <w:r w:rsidRPr="00D164D1">
        <w:rPr>
          <w:rFonts w:cs="Calibri"/>
          <w:bCs/>
        </w:rPr>
        <w:t xml:space="preserve"> </w:t>
      </w:r>
      <w:r w:rsidR="00D164D1" w:rsidRPr="00D164D1">
        <w:rPr>
          <w:rFonts w:cs="Calibri"/>
          <w:bCs/>
        </w:rPr>
        <w:t>być</w:t>
      </w:r>
      <w:r w:rsidRPr="00D164D1">
        <w:rPr>
          <w:rFonts w:cs="Calibri"/>
          <w:bCs/>
        </w:rPr>
        <w:t xml:space="preserve"> wykonywane przy temperaturze powy</w:t>
      </w:r>
      <w:r w:rsidR="00D164D1" w:rsidRPr="00D164D1">
        <w:rPr>
          <w:rFonts w:cs="Calibri"/>
          <w:bCs/>
        </w:rPr>
        <w:t xml:space="preserve">żej </w:t>
      </w:r>
      <w:r w:rsidRPr="00D164D1">
        <w:rPr>
          <w:rFonts w:cs="Calibri"/>
          <w:bCs/>
        </w:rPr>
        <w:t xml:space="preserve">0 </w:t>
      </w:r>
      <w:r w:rsidR="00D164D1" w:rsidRPr="00D164D1">
        <w:rPr>
          <w:rFonts w:cs="Calibri"/>
          <w:bCs/>
          <w:vertAlign w:val="superscript"/>
        </w:rPr>
        <w:t>O</w:t>
      </w:r>
      <w:r w:rsidRPr="00D164D1">
        <w:rPr>
          <w:rFonts w:cs="Calibri"/>
          <w:bCs/>
        </w:rPr>
        <w:t>C.</w:t>
      </w:r>
    </w:p>
    <w:p w14:paraId="46D2B69B" w14:textId="77777777" w:rsidR="00AC1E20" w:rsidRPr="00AC1E20" w:rsidRDefault="00AC1E20" w:rsidP="00AC1E20">
      <w:pPr>
        <w:spacing w:after="0"/>
        <w:jc w:val="both"/>
        <w:rPr>
          <w:rFonts w:cs="Calibri"/>
          <w:bCs/>
        </w:rPr>
      </w:pPr>
      <w:r w:rsidRPr="00AC1E20">
        <w:rPr>
          <w:rFonts w:cs="Calibri"/>
          <w:bCs/>
        </w:rPr>
        <w:t xml:space="preserve">Wykonywanie konstrukcji murowych </w:t>
      </w:r>
      <w:r w:rsidR="00D164D1" w:rsidRPr="00AC1E20">
        <w:rPr>
          <w:rFonts w:cs="Calibri"/>
          <w:bCs/>
        </w:rPr>
        <w:t>grubości</w:t>
      </w:r>
      <w:r w:rsidRPr="00AC1E20">
        <w:rPr>
          <w:rFonts w:cs="Calibri"/>
          <w:bCs/>
        </w:rPr>
        <w:t xml:space="preserve"> 1 cegła i grubszych do</w:t>
      </w:r>
      <w:r w:rsidR="00D164D1">
        <w:rPr>
          <w:rFonts w:cs="Calibri"/>
          <w:bCs/>
        </w:rPr>
        <w:t xml:space="preserve">puszcza </w:t>
      </w:r>
      <w:proofErr w:type="spellStart"/>
      <w:r w:rsidR="00D164D1">
        <w:rPr>
          <w:rFonts w:cs="Calibri"/>
          <w:bCs/>
        </w:rPr>
        <w:t>sie</w:t>
      </w:r>
      <w:proofErr w:type="spellEnd"/>
      <w:r w:rsidR="00D164D1">
        <w:rPr>
          <w:rFonts w:cs="Calibri"/>
          <w:bCs/>
        </w:rPr>
        <w:t xml:space="preserve"> w temperaturze poniż</w:t>
      </w:r>
      <w:r w:rsidRPr="00AC1E20">
        <w:rPr>
          <w:rFonts w:cs="Calibri"/>
          <w:bCs/>
        </w:rPr>
        <w:t>ej</w:t>
      </w:r>
      <w:r w:rsidR="00D164D1">
        <w:rPr>
          <w:rFonts w:cs="Calibri"/>
          <w:bCs/>
        </w:rPr>
        <w:t xml:space="preserve"> </w:t>
      </w:r>
      <w:r w:rsidRPr="00AC1E20">
        <w:rPr>
          <w:rFonts w:cs="Calibri"/>
          <w:bCs/>
        </w:rPr>
        <w:t xml:space="preserve">0 </w:t>
      </w:r>
      <w:r w:rsidR="00D164D1" w:rsidRPr="00D164D1">
        <w:rPr>
          <w:rFonts w:cs="Calibri"/>
          <w:bCs/>
          <w:vertAlign w:val="superscript"/>
        </w:rPr>
        <w:t>O</w:t>
      </w:r>
      <w:r w:rsidRPr="00AC1E20">
        <w:rPr>
          <w:rFonts w:cs="Calibri"/>
          <w:bCs/>
        </w:rPr>
        <w:t xml:space="preserve">C pod warunkiem stosowania </w:t>
      </w:r>
      <w:r w:rsidR="00D164D1" w:rsidRPr="00AC1E20">
        <w:rPr>
          <w:rFonts w:cs="Calibri"/>
          <w:bCs/>
        </w:rPr>
        <w:t>środków</w:t>
      </w:r>
      <w:r w:rsidRPr="00AC1E20">
        <w:rPr>
          <w:rFonts w:cs="Calibri"/>
          <w:bCs/>
        </w:rPr>
        <w:t xml:space="preserve"> </w:t>
      </w:r>
      <w:r w:rsidR="00D164D1" w:rsidRPr="00AC1E20">
        <w:rPr>
          <w:rFonts w:cs="Calibri"/>
          <w:bCs/>
        </w:rPr>
        <w:t>umo</w:t>
      </w:r>
      <w:r w:rsidR="00D164D1">
        <w:rPr>
          <w:rFonts w:cs="Calibri"/>
          <w:bCs/>
        </w:rPr>
        <w:t>ż</w:t>
      </w:r>
      <w:r w:rsidR="00D164D1" w:rsidRPr="00AC1E20">
        <w:rPr>
          <w:rFonts w:cs="Calibri"/>
          <w:bCs/>
        </w:rPr>
        <w:t>liwiających</w:t>
      </w:r>
      <w:r w:rsidRPr="00AC1E20">
        <w:rPr>
          <w:rFonts w:cs="Calibri"/>
          <w:bCs/>
        </w:rPr>
        <w:t xml:space="preserve"> </w:t>
      </w:r>
      <w:r w:rsidR="00D164D1" w:rsidRPr="00AC1E20">
        <w:rPr>
          <w:rFonts w:cs="Calibri"/>
          <w:bCs/>
        </w:rPr>
        <w:t>wiązanie</w:t>
      </w:r>
      <w:r w:rsidRPr="00AC1E20">
        <w:rPr>
          <w:rFonts w:cs="Calibri"/>
          <w:bCs/>
        </w:rPr>
        <w:t xml:space="preserve"> i twardnienie zaprawy.</w:t>
      </w:r>
    </w:p>
    <w:p w14:paraId="7D373BBA" w14:textId="77777777" w:rsidR="00211F7B" w:rsidRPr="00211F7B" w:rsidRDefault="00211F7B" w:rsidP="00211F7B">
      <w:pPr>
        <w:spacing w:after="0"/>
        <w:jc w:val="both"/>
        <w:rPr>
          <w:rFonts w:cs="Calibri"/>
          <w:b/>
          <w:bCs/>
        </w:rPr>
      </w:pPr>
      <w:r w:rsidRPr="00211F7B">
        <w:rPr>
          <w:rFonts w:cs="Calibri"/>
          <w:b/>
          <w:bCs/>
        </w:rPr>
        <w:t>Tolerancje wykonania</w:t>
      </w:r>
    </w:p>
    <w:p w14:paraId="4AFB397E" w14:textId="77777777" w:rsidR="00211F7B" w:rsidRP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t>Przyjmuje się tolerancję wykonania murów klasy N1.</w:t>
      </w:r>
    </w:p>
    <w:p w14:paraId="22D97868" w14:textId="77777777" w:rsidR="00211F7B" w:rsidRP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t>Dokładność pomiarów odchyłek geometrycznych powinna wynosić ±1mm. Odchylenia poziome usytuowania podpór i elementów powinny być mierzone w stosunku do osi podłużnych i poprzecznych osnowy geodezyjnej pokrywającej się z osiami ścian lub słupów.</w:t>
      </w:r>
      <w:r w:rsidRPr="00211F7B">
        <w:rPr>
          <w:rFonts w:cs="Calibri"/>
          <w:bCs/>
        </w:rPr>
        <w:br/>
        <w:t>Odchylenia pionowe wzdłuż wysokości budynku powinny przyjmować wartości różnoimienne w stosunku do układu odniesienia. W przypadku stwierdzenia odchyleń o charakterze systematycznym należy podjąć działania korygujące. Dopuszczalne odchyłki wymiarów i usytuowania ścian nie mogą być większe niż:</w:t>
      </w:r>
    </w:p>
    <w:p w14:paraId="0BECFB43" w14:textId="77777777" w:rsid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t>- wysokość i długość każdego pomieszczenia ± 20mm</w:t>
      </w:r>
    </w:p>
    <w:p w14:paraId="1D6FE5C6" w14:textId="77777777" w:rsid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t>- usytuowanie ściany w planie w stosunku do osi pomiarowej ±10mm</w:t>
      </w:r>
    </w:p>
    <w:p w14:paraId="68CEABC1" w14:textId="77777777" w:rsid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t>- odległość sąsiednich ścian w świetle ±15mm</w:t>
      </w:r>
    </w:p>
    <w:p w14:paraId="5B9FE83F" w14:textId="77777777" w:rsid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t>- odchylenie od pionu ściany o wysokości h - h/300</w:t>
      </w:r>
    </w:p>
    <w:p w14:paraId="209DB0A0" w14:textId="77777777" w:rsidR="00211F7B" w:rsidRP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t>- wygięcie z płaszczyzny ściany ±10mm lub h/750</w:t>
      </w:r>
    </w:p>
    <w:p w14:paraId="5C8DA7A4" w14:textId="77777777" w:rsidR="00211F7B" w:rsidRP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t>Dopuszczalne odchyłki grubości murów nie mogą przekraczać ±10mm.</w:t>
      </w:r>
    </w:p>
    <w:p w14:paraId="41651D4A" w14:textId="77777777" w:rsidR="00211F7B" w:rsidRP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t xml:space="preserve">Dopuszczalne odchylenie ścian murowanych od płaskiej powierzchni ( zwichrzenie i skrzywienie ) nie powinno być większe niż </w:t>
      </w:r>
      <w:smartTag w:uri="urn:schemas-microsoft-com:office:smarttags" w:element="metricconverter">
        <w:smartTagPr>
          <w:attr w:name="ProductID" w:val="5 mm"/>
        </w:smartTagPr>
        <w:r w:rsidRPr="00211F7B">
          <w:rPr>
            <w:rFonts w:cs="Calibri"/>
            <w:bCs/>
          </w:rPr>
          <w:t>5 mm</w:t>
        </w:r>
      </w:smartTag>
      <w:r w:rsidRPr="00211F7B">
        <w:rPr>
          <w:rFonts w:cs="Calibri"/>
          <w:bCs/>
        </w:rPr>
        <w:t xml:space="preserve"> na odcinku 1m oraz 20mm na odcinku całej ściany.</w:t>
      </w:r>
    </w:p>
    <w:p w14:paraId="5F216A23" w14:textId="77777777" w:rsidR="00211F7B" w:rsidRP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t>Dopuszczalne odchylenie wymiarów otworów w świetle ościeżnic nie powinno być większe niż +15, -10mm.</w:t>
      </w:r>
    </w:p>
    <w:p w14:paraId="1FF19AC8" w14:textId="77777777" w:rsidR="00211F7B" w:rsidRPr="00211F7B" w:rsidRDefault="00211F7B" w:rsidP="00211F7B">
      <w:pPr>
        <w:spacing w:after="0"/>
        <w:jc w:val="both"/>
        <w:rPr>
          <w:rFonts w:cs="Calibri"/>
          <w:b/>
          <w:bCs/>
        </w:rPr>
      </w:pPr>
      <w:r w:rsidRPr="00211F7B">
        <w:rPr>
          <w:rFonts w:cs="Calibri"/>
          <w:b/>
          <w:bCs/>
        </w:rPr>
        <w:t>Dopuszczalne odchylenie muru o długości L ( w mm ) powodujące jego skośność w płaszczyźnie nie powinno być większe niż  L/100 20mm</w:t>
      </w:r>
    </w:p>
    <w:p w14:paraId="12CBAADF" w14:textId="77777777" w:rsidR="00211F7B" w:rsidRP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t>Dopuszczalne odchylenie w usytuowaniu otworów i wkładek nie powinno być większe niż  ± 20mm</w:t>
      </w:r>
    </w:p>
    <w:p w14:paraId="2A66FA0A" w14:textId="77777777" w:rsid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t xml:space="preserve">Układ cegieł w murze powinien odpowiadać zasadom prawidłowego wiązania. Można stosować układy tradycyjne - kowadełkowy, krzyżykowy, polski, holenderski. </w:t>
      </w:r>
    </w:p>
    <w:p w14:paraId="6DA2B3D2" w14:textId="77777777" w:rsidR="00211F7B" w:rsidRP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t>Roboty murarskie wykonywać zgodnie z ogólnymi zasadami wiedzy technicznej i „Wytycznymi wykonania i odbioru robót-budowlano montażowych”, w części dotyczącej robót murarskich. Do stosowanych materiałów należy stosować odpowiednio zaprawę.</w:t>
      </w:r>
    </w:p>
    <w:p w14:paraId="15D97933" w14:textId="56565CEE" w:rsidR="00211F7B" w:rsidRDefault="00211F7B" w:rsidP="00211F7B">
      <w:pPr>
        <w:spacing w:after="0"/>
        <w:jc w:val="both"/>
        <w:rPr>
          <w:rFonts w:cs="Calibri"/>
          <w:bCs/>
        </w:rPr>
      </w:pPr>
      <w:r w:rsidRPr="00211F7B">
        <w:rPr>
          <w:rFonts w:cs="Calibri"/>
          <w:bCs/>
        </w:rPr>
        <w:lastRenderedPageBreak/>
        <w:t xml:space="preserve">Należy zwrócić szczególną uwagę na ustawieniu ścianek na elementach konstrukcji stropów i posadzek a nie warstw posadzki. Zachowywać szczególną uwagę przy narożnikach ścian – powinny być prawidłowo połączone poprzez przewiązanie cegieł. </w:t>
      </w:r>
    </w:p>
    <w:p w14:paraId="1E7CCC9A" w14:textId="77777777" w:rsidR="00772165" w:rsidRDefault="00772165" w:rsidP="00AF1E89">
      <w:pPr>
        <w:spacing w:after="0"/>
        <w:jc w:val="both"/>
        <w:rPr>
          <w:rFonts w:cs="Calibri"/>
          <w:bCs/>
        </w:rPr>
      </w:pPr>
    </w:p>
    <w:p w14:paraId="34C1F81A" w14:textId="77777777" w:rsidR="00175B92" w:rsidRPr="00175B92" w:rsidRDefault="00175B92" w:rsidP="00ED6934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KONTROLA</w:t>
      </w:r>
      <w:r>
        <w:rPr>
          <w:rFonts w:cs="Calibri"/>
          <w:b/>
          <w:bCs/>
        </w:rPr>
        <w:t xml:space="preserve"> </w:t>
      </w:r>
      <w:r w:rsidRPr="00175B92">
        <w:rPr>
          <w:rFonts w:cs="Calibri"/>
          <w:b/>
          <w:bCs/>
        </w:rPr>
        <w:t>JAKOŚCI ROBÓT</w:t>
      </w:r>
    </w:p>
    <w:p w14:paraId="1057D437" w14:textId="77777777" w:rsidR="00175B92" w:rsidRPr="00175B92" w:rsidRDefault="00175B92" w:rsidP="00175B92">
      <w:p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Ogólne wymagania dotyczące kontroli jakości robót.</w:t>
      </w:r>
    </w:p>
    <w:p w14:paraId="1475027F" w14:textId="77777777" w:rsidR="00175B92" w:rsidRPr="00175B92" w:rsidRDefault="00175B92" w:rsidP="00175B92">
      <w:p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Ogólne wymagania dotyczące kontroli jakości robót podano w „Wymaganiach ogólnych” Przy wykonywaniu konstrukcji murowych stosuje się klasę kontroli l.</w:t>
      </w:r>
    </w:p>
    <w:p w14:paraId="67ED84AC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Wykonawca jest odpowiedzialny za jakość materiałów użytych do realizacji robót. Wykonawca zobowiązany jest do oceny jakości cegieł dostarczanych przez producenta i ich zgodności w wymaganiami dokumentacji projektowej i specyfikacji technicznej na podstawie:</w:t>
      </w:r>
    </w:p>
    <w:p w14:paraId="1E079FB7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rezultatów badań pełnych wykonywanych przez producenta</w:t>
      </w:r>
    </w:p>
    <w:p w14:paraId="2586F22B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rezultatów badań niepełnych wykonywanych przez producenta dla każdej partii dostarczanej na budowę</w:t>
      </w:r>
    </w:p>
    <w:p w14:paraId="4505286C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atestu (zaświadczenia o jakości)</w:t>
      </w:r>
    </w:p>
    <w:p w14:paraId="71EC980A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oceny wizualnej każdej jednostkowej dostawy</w:t>
      </w:r>
    </w:p>
    <w:p w14:paraId="1C91AB8D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dodatkowych badań wykonywanych na koszt wykonawcy w przypadku zgłoszenia przez</w:t>
      </w:r>
      <w:r>
        <w:rPr>
          <w:rFonts w:cs="Calibri"/>
          <w:bCs/>
        </w:rPr>
        <w:t xml:space="preserve"> </w:t>
      </w:r>
      <w:r w:rsidRPr="00175B92">
        <w:rPr>
          <w:rFonts w:cs="Calibri"/>
          <w:bCs/>
        </w:rPr>
        <w:t>Nadzór Inwestorski wątpliwości co do jakości cegieł.</w:t>
      </w:r>
    </w:p>
    <w:p w14:paraId="1B6EF3B3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Potwierdzenie właściwości materiałów i wyrobów z każdej dostawy powinno być podane w:</w:t>
      </w:r>
    </w:p>
    <w:p w14:paraId="0A87EBB4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zaświadczeniach z kontroli</w:t>
      </w:r>
    </w:p>
    <w:p w14:paraId="1B6A0B6B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zapisach w dziennikach budowy</w:t>
      </w:r>
    </w:p>
    <w:p w14:paraId="4E44D618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innych dokumentach</w:t>
      </w:r>
    </w:p>
    <w:p w14:paraId="41D648D6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Każda dostawa powinna być wyraźnie identyfikowana oraz zaopatrzona w deklarację zgodności. Cegły i pustaki powinny być zbadane na obecność szkodliwej zawartości rozpuszczalnych soli. Po badaniach na cegłach nie powinny wystąpić wykwity i naloty.</w:t>
      </w:r>
    </w:p>
    <w:p w14:paraId="54B505B8" w14:textId="77777777" w:rsidR="00175B92" w:rsidRPr="00175B92" w:rsidRDefault="00175B92" w:rsidP="00175B92">
      <w:p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Warunki dostawy</w:t>
      </w:r>
    </w:p>
    <w:p w14:paraId="3FA944BA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Poszczególne rodzaje cegieł i pustaków powinny pochodzić z jednego źródła. Pochodzenie cegły i jej jakość określona w pełnej charakterystyce technicznej wykonanej przez producenta podlega zatwierdzeniu przez Nadzór Inwestycyjny.</w:t>
      </w:r>
    </w:p>
    <w:p w14:paraId="5BBE6817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Wykonawca powinien:</w:t>
      </w:r>
    </w:p>
    <w:p w14:paraId="32AC1000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dokonać uzgodnień z producentem dotyczących gwarancji jakości całej zamawianej ilości cegły</w:t>
      </w:r>
    </w:p>
    <w:p w14:paraId="0DEE9B15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dokonać uzgodnień dotyczących rytmiczności dostaw wynikającej z harmonogramu robót</w:t>
      </w:r>
    </w:p>
    <w:p w14:paraId="15C02842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 xml:space="preserve">- zagwarantować sobie dostęp do wyników badań pełnych i niepełnych oraz specjalnych, wykonywanych przez producenta </w:t>
      </w:r>
    </w:p>
    <w:p w14:paraId="07D5253A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zapewnić sobie od producenta atest ( zaświadczenie o jakości) dla każdej, jednorazowo wysyłanej ilości cegieł, zawierający następujące dane:</w:t>
      </w:r>
    </w:p>
    <w:p w14:paraId="1701CCDB" w14:textId="77777777" w:rsidR="00175B92" w:rsidRPr="00175B92" w:rsidRDefault="00175B92" w:rsidP="00ED6934">
      <w:pPr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nazwę i adres producenta</w:t>
      </w:r>
    </w:p>
    <w:p w14:paraId="3B1CBC89" w14:textId="77777777" w:rsidR="00175B92" w:rsidRPr="00175B92" w:rsidRDefault="00175B92" w:rsidP="00ED6934">
      <w:pPr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datę i numer kolejny badania</w:t>
      </w:r>
    </w:p>
    <w:p w14:paraId="5879987A" w14:textId="77777777" w:rsidR="00175B92" w:rsidRPr="00175B92" w:rsidRDefault="00175B92" w:rsidP="00ED6934">
      <w:pPr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oznaczenie według normy</w:t>
      </w:r>
    </w:p>
    <w:p w14:paraId="4BDB6FD0" w14:textId="77777777" w:rsidR="00175B92" w:rsidRPr="00175B92" w:rsidRDefault="00175B92" w:rsidP="00ED6934">
      <w:pPr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ilość cegieł</w:t>
      </w:r>
    </w:p>
    <w:p w14:paraId="3C5D6331" w14:textId="77777777" w:rsidR="00175B92" w:rsidRPr="00175B92" w:rsidRDefault="00175B92" w:rsidP="00ED6934">
      <w:pPr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pieczęć i podpis osoby odpowiedzialnej za wykonanie badań</w:t>
      </w:r>
    </w:p>
    <w:p w14:paraId="65B32677" w14:textId="77777777" w:rsidR="00175B92" w:rsidRPr="00175B92" w:rsidRDefault="00175B92" w:rsidP="00175B92">
      <w:p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Program badań</w:t>
      </w:r>
    </w:p>
    <w:p w14:paraId="24D79101" w14:textId="77777777" w:rsidR="00175B92" w:rsidRPr="00175B92" w:rsidRDefault="00175B92" w:rsidP="00175B92">
      <w:p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Badania robót murarskich należy wykonywać w trzech etapach :</w:t>
      </w:r>
    </w:p>
    <w:p w14:paraId="7CE28ACF" w14:textId="77777777" w:rsidR="00175B92" w:rsidRPr="00175B92" w:rsidRDefault="00175B92" w:rsidP="00175B92">
      <w:p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- badania przed rozpoczęciem budowy</w:t>
      </w:r>
    </w:p>
    <w:p w14:paraId="19F410ED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sprawdzenie robót pomiarowych</w:t>
      </w:r>
    </w:p>
    <w:p w14:paraId="433A12F6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lastRenderedPageBreak/>
        <w:t>- sprawdzenie robót przygotowawczych</w:t>
      </w:r>
    </w:p>
    <w:p w14:paraId="25F6506B" w14:textId="77777777" w:rsidR="00175B92" w:rsidRDefault="00175B92" w:rsidP="00175B92">
      <w:p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- badania w trakcie budowy</w:t>
      </w:r>
    </w:p>
    <w:p w14:paraId="7577E5AB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sprawdzenie zgodności z dokumentacją</w:t>
      </w:r>
    </w:p>
    <w:p w14:paraId="13B2D84B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sprawdzanie jakości dostarczanych i użytych materiałów</w:t>
      </w:r>
    </w:p>
    <w:p w14:paraId="4F2082CC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sprawdzanie jakości wykonania poszczególnych ścian według opisu badań</w:t>
      </w:r>
    </w:p>
    <w:p w14:paraId="2D46A5E0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ewentualne sprawdzenie nośności wykonanych elementów poprzez wykonanie odpowiednich ekspertyz</w:t>
      </w:r>
    </w:p>
    <w:p w14:paraId="0A564D15" w14:textId="77777777" w:rsidR="00175B92" w:rsidRDefault="00175B92" w:rsidP="00175B92">
      <w:p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- badania odbiorcze</w:t>
      </w:r>
    </w:p>
    <w:p w14:paraId="2BD7D5C7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sprawdzenie zgodności z dokumentacją</w:t>
      </w:r>
    </w:p>
    <w:p w14:paraId="12310126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sprawdzanie jakości dostarczanych i użytych materiałów</w:t>
      </w:r>
    </w:p>
    <w:p w14:paraId="7D05B7B6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sprawdzanie jakości wykonania poszczególnych ścian według opisu badań</w:t>
      </w:r>
    </w:p>
    <w:p w14:paraId="5F65C810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ewentualne sprawdzenie nośności wykonanych elementów poprzez wykonanie</w:t>
      </w:r>
    </w:p>
    <w:p w14:paraId="5EB8ECE5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odpowiednich ekspertyz</w:t>
      </w:r>
    </w:p>
    <w:p w14:paraId="7764FA49" w14:textId="77777777" w:rsidR="00175B92" w:rsidRPr="00175B92" w:rsidRDefault="00175B92" w:rsidP="00175B92">
      <w:p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 xml:space="preserve">Badania konstrukcji murowych. </w:t>
      </w:r>
    </w:p>
    <w:p w14:paraId="77E2AE57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Wszystkie elementy murarskie powinny być wykonane zgodnie z zasadami sztuki budowlanej, wymaganiami aktualnych norm i instrukcji, dokumentacją projektową oraz warunkami niniejszej specyfikacji technicznej.</w:t>
      </w:r>
    </w:p>
    <w:p w14:paraId="4E472821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/>
          <w:bCs/>
        </w:rPr>
        <w:t xml:space="preserve">- </w:t>
      </w:r>
      <w:r w:rsidRPr="00175B92">
        <w:rPr>
          <w:rFonts w:cs="Calibri"/>
          <w:bCs/>
        </w:rPr>
        <w:t xml:space="preserve"> Sprawdzanie jakości dostarczanych i użytych materiałów, w szczególności wymiarów, klasy wytrzymałości, jednorodności materiału, jakości powierzchni zewnętrznych</w:t>
      </w:r>
    </w:p>
    <w:p w14:paraId="1ADB62D1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/>
          <w:bCs/>
        </w:rPr>
        <w:t>-</w:t>
      </w:r>
      <w:r w:rsidRPr="00175B92">
        <w:rPr>
          <w:rFonts w:cs="Calibri"/>
          <w:bCs/>
        </w:rPr>
        <w:t xml:space="preserve">  Ocena prawidłowości wiązania muru - w szczególności na stykach i narożnikach, na podstawie oględzin i zapisów w dzienniku budowy</w:t>
      </w:r>
    </w:p>
    <w:p w14:paraId="6D6AA3D2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/>
          <w:bCs/>
        </w:rPr>
        <w:t>-</w:t>
      </w:r>
      <w:r w:rsidRPr="00175B92">
        <w:rPr>
          <w:rFonts w:cs="Calibri"/>
          <w:bCs/>
        </w:rPr>
        <w:t xml:space="preserve">  Sprawdzanie równomierności i szybkości wykonywania poszczególnych ścian na podstawie oględzin i zapisów w dzienniku budowy</w:t>
      </w:r>
    </w:p>
    <w:p w14:paraId="2F1B9C76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/>
          <w:bCs/>
        </w:rPr>
        <w:t>-</w:t>
      </w:r>
      <w:r w:rsidRPr="00175B92">
        <w:rPr>
          <w:rFonts w:cs="Calibri"/>
          <w:bCs/>
        </w:rPr>
        <w:t xml:space="preserve">  Sprawdzenie grubości spoin i ich wypełnienia zaprawą - na podstawie oględzin </w:t>
      </w:r>
      <w:r w:rsidRPr="00175B92">
        <w:rPr>
          <w:rFonts w:cs="Calibri"/>
          <w:bCs/>
        </w:rPr>
        <w:br/>
        <w:t xml:space="preserve">i pomiarów taśmą z podziałką milimetrową, do oceny należy przyjmować średnią grubość spoiny ustaloną przy założeniu średnich wymiarów cegły na odcinku ściany o długości </w:t>
      </w:r>
      <w:r w:rsidRPr="00175B92">
        <w:rPr>
          <w:rFonts w:cs="Calibri"/>
          <w:bCs/>
        </w:rPr>
        <w:br/>
        <w:t xml:space="preserve">co najmniej </w:t>
      </w:r>
      <w:smartTag w:uri="urn:schemas-microsoft-com:office:smarttags" w:element="metricconverter">
        <w:smartTagPr>
          <w:attr w:name="ProductID" w:val="1,0 m"/>
        </w:smartTagPr>
        <w:r w:rsidRPr="00175B92">
          <w:rPr>
            <w:rFonts w:cs="Calibri"/>
            <w:bCs/>
          </w:rPr>
          <w:t>1,0 m</w:t>
        </w:r>
      </w:smartTag>
    </w:p>
    <w:p w14:paraId="514E275E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/>
          <w:bCs/>
        </w:rPr>
        <w:t xml:space="preserve">-  </w:t>
      </w:r>
      <w:r w:rsidRPr="00175B92">
        <w:rPr>
          <w:rFonts w:cs="Calibri"/>
          <w:bCs/>
        </w:rPr>
        <w:t xml:space="preserve">Sprawdzenie odchylenia powierzchni od płaszczyzny oraz prostoliniowości krawędzi należy przeprowadzać poprzez przykładanie łaty kontrolnej o długości </w:t>
      </w:r>
      <w:smartTag w:uri="urn:schemas-microsoft-com:office:smarttags" w:element="metricconverter">
        <w:smartTagPr>
          <w:attr w:name="ProductID" w:val="2,0 m"/>
        </w:smartTagPr>
        <w:r w:rsidRPr="00175B92">
          <w:rPr>
            <w:rFonts w:cs="Calibri"/>
            <w:bCs/>
          </w:rPr>
          <w:t>2,0 m</w:t>
        </w:r>
      </w:smartTag>
      <w:r w:rsidRPr="00175B92">
        <w:rPr>
          <w:rFonts w:cs="Calibri"/>
          <w:bCs/>
        </w:rPr>
        <w:t xml:space="preserve"> w kierunkach prostopadłych na skrzyżowaniu muru oraz na powierzchni muru, a następnie pomiar prześwitu między łatą i powierzchnią lub krawędzią muru z dokładnością do 1,0mm</w:t>
      </w:r>
    </w:p>
    <w:p w14:paraId="3E492C72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/>
          <w:bCs/>
        </w:rPr>
        <w:t>-</w:t>
      </w:r>
      <w:r w:rsidRPr="00175B92">
        <w:rPr>
          <w:rFonts w:cs="Calibri"/>
          <w:bCs/>
        </w:rPr>
        <w:t xml:space="preserve"> Sprawdzenie pionowości powierzchni i krawędzi muru na wysokości kondygnacji należy przeprowadzać za pomocą pionu murarskiego i przymiaru z podziałką milimetrową.</w:t>
      </w:r>
    </w:p>
    <w:p w14:paraId="183AEF74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/>
          <w:bCs/>
        </w:rPr>
        <w:t>-</w:t>
      </w:r>
      <w:r w:rsidRPr="00175B92">
        <w:rPr>
          <w:rFonts w:cs="Calibri"/>
          <w:bCs/>
        </w:rPr>
        <w:t xml:space="preserve">  Sprawdzenie jakości wykonania i usytuowania wieńców żelbetowych w miejscach ich występowania na podstawie oględzin i zapisów w dzienniku budowy.</w:t>
      </w:r>
    </w:p>
    <w:p w14:paraId="2800E70B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/>
          <w:bCs/>
        </w:rPr>
        <w:t>-</w:t>
      </w:r>
      <w:r w:rsidRPr="00175B92">
        <w:rPr>
          <w:rFonts w:cs="Calibri"/>
          <w:bCs/>
        </w:rPr>
        <w:t xml:space="preserve">   Sprawdzenie jakości zbrojenia.</w:t>
      </w:r>
    </w:p>
    <w:p w14:paraId="45AC69C9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/>
          <w:bCs/>
        </w:rPr>
        <w:t>-</w:t>
      </w:r>
      <w:r w:rsidRPr="00175B92">
        <w:rPr>
          <w:rFonts w:cs="Calibri"/>
          <w:bCs/>
        </w:rPr>
        <w:t xml:space="preserve">  Sprawdzenie usytuowania poszczególnych ścian należy przeprowadzać poprzez pomiary geodezyjne.</w:t>
      </w:r>
    </w:p>
    <w:p w14:paraId="0263273B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/>
          <w:bCs/>
        </w:rPr>
        <w:t>-</w:t>
      </w:r>
      <w:r w:rsidRPr="00175B92">
        <w:rPr>
          <w:rFonts w:cs="Calibri"/>
          <w:bCs/>
        </w:rPr>
        <w:t xml:space="preserve">  Sprawdzenie poziomowości warstw muru należy przeprowadzać za pomocą poziomnicy murarskiej lub wężowej oraz łaty kontrolnej, przy dłuższych ścianach za pomocą niwelatora.</w:t>
      </w:r>
    </w:p>
    <w:p w14:paraId="30E4A26E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/>
          <w:bCs/>
        </w:rPr>
        <w:t>-</w:t>
      </w:r>
      <w:r w:rsidRPr="00175B92">
        <w:rPr>
          <w:rFonts w:cs="Calibri"/>
          <w:bCs/>
        </w:rPr>
        <w:t xml:space="preserve">  Sprawdzenie prawidłowości wykonania nadproży należy wykonać za pomocą oględzin, dodatkowo należy sprawdzić równoległość oparcia.</w:t>
      </w:r>
    </w:p>
    <w:p w14:paraId="4E381EF1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/>
          <w:bCs/>
        </w:rPr>
        <w:t>-</w:t>
      </w:r>
      <w:r w:rsidRPr="00175B92">
        <w:rPr>
          <w:rFonts w:cs="Calibri"/>
          <w:bCs/>
        </w:rPr>
        <w:t xml:space="preserve">  Sprawdzenie liczby użytych uszkodzonych lub połówkowych elementów murowych należy przeprowadzać w trakcie robót i na podstawie zapisów w dzienniku budowy.</w:t>
      </w:r>
    </w:p>
    <w:p w14:paraId="5A07F13F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</w:p>
    <w:p w14:paraId="7DBED4BA" w14:textId="77777777" w:rsidR="00175B92" w:rsidRPr="00175B92" w:rsidRDefault="00175B92" w:rsidP="00ED6934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lastRenderedPageBreak/>
        <w:t xml:space="preserve"> OBMIAR ROBÓT</w:t>
      </w:r>
    </w:p>
    <w:p w14:paraId="1CF3D16B" w14:textId="77777777" w:rsidR="00175B92" w:rsidRPr="00175B92" w:rsidRDefault="00175B92" w:rsidP="00ED6934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Ogólne zasady obmiaru robót.</w:t>
      </w:r>
    </w:p>
    <w:p w14:paraId="50B5B46F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 xml:space="preserve">Ogólne zasady obmiaru robót podano w „Wymaganiach ogólnych” </w:t>
      </w:r>
    </w:p>
    <w:p w14:paraId="65D7F9DD" w14:textId="77777777" w:rsidR="00175B92" w:rsidRPr="00175B92" w:rsidRDefault="00175B92" w:rsidP="00ED6934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 xml:space="preserve"> Jednostka obmiarowa</w:t>
      </w:r>
    </w:p>
    <w:p w14:paraId="29997093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Jednostką obmiarową jest jeden metr bieżący dla:</w:t>
      </w:r>
    </w:p>
    <w:p w14:paraId="7E807058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dostarczenia, obsadzenia i obmurowania belek stalowych</w:t>
      </w:r>
    </w:p>
    <w:p w14:paraId="2062E1F9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ułożenia nadproży</w:t>
      </w:r>
    </w:p>
    <w:p w14:paraId="0C83C6A1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Jednostką obmiarową jest jeden metr kwadratowy metr dla:</w:t>
      </w:r>
    </w:p>
    <w:p w14:paraId="3667D8AB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umocowania siatek tynkarskich</w:t>
      </w:r>
    </w:p>
    <w:p w14:paraId="48EFEB37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wypełnienia zaprawą oczek siatki tynkarskiej</w:t>
      </w:r>
    </w:p>
    <w:p w14:paraId="371F87AE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 xml:space="preserve">- muru łącznie ze spoinami. </w:t>
      </w:r>
    </w:p>
    <w:p w14:paraId="4FA4EADD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 xml:space="preserve">Wysokość murów w ścianach budynków obmierza się kondygnacjami od wierzchu stropu do wierzchu następnego stropu. Z murów odlicza się powierzchnię otworów drzwiowych i okiennych, oraz wnęk z wyjątkiem wnęk na liczniki elektryczne i gazowe o objętości ponad </w:t>
      </w:r>
      <w:smartTag w:uri="urn:schemas-microsoft-com:office:smarttags" w:element="metricconverter">
        <w:smartTagPr>
          <w:attr w:name="ProductID" w:val="0,05 m3"/>
        </w:smartTagPr>
        <w:r w:rsidRPr="00175B92">
          <w:rPr>
            <w:rFonts w:cs="Calibri"/>
            <w:bCs/>
          </w:rPr>
          <w:t>0,05 m3</w:t>
        </w:r>
      </w:smartTag>
      <w:r w:rsidRPr="00175B92">
        <w:rPr>
          <w:rFonts w:cs="Calibri"/>
          <w:bCs/>
        </w:rPr>
        <w:t>. Nie odlicza się z powierzchni murów, nadproży, przesklepień płaskich, prefabrykatów, bruzd instalacyjnych, obmurowanych konstrukcji stalowych i drewnianych.</w:t>
      </w:r>
    </w:p>
    <w:p w14:paraId="04D2F329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Jednostką obmiarową jest jeden metr sześcienny dla:</w:t>
      </w:r>
    </w:p>
    <w:p w14:paraId="2BC71B53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uzupełnienia ścian lub zamurowaniu otworów</w:t>
      </w:r>
      <w:r>
        <w:rPr>
          <w:rFonts w:cs="Calibri"/>
          <w:bCs/>
        </w:rPr>
        <w:t>.</w:t>
      </w:r>
    </w:p>
    <w:p w14:paraId="1070182C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</w:p>
    <w:p w14:paraId="375BFB5E" w14:textId="77777777" w:rsidR="00175B92" w:rsidRPr="00175B92" w:rsidRDefault="00175B92" w:rsidP="00ED6934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ODBIÓR ROBÓT</w:t>
      </w:r>
    </w:p>
    <w:p w14:paraId="5EC72581" w14:textId="77777777" w:rsidR="00175B92" w:rsidRPr="00175B92" w:rsidRDefault="00175B92" w:rsidP="00ED6934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Ogólne zasady odbioru robót podano.</w:t>
      </w:r>
    </w:p>
    <w:p w14:paraId="18F6B655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Ogólne zasady odbioru robót podano w „Wymaganiach ogólnych”.</w:t>
      </w:r>
    </w:p>
    <w:p w14:paraId="4BBDA701" w14:textId="77777777" w:rsidR="00175B92" w:rsidRPr="00175B92" w:rsidRDefault="00175B92" w:rsidP="00ED6934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 xml:space="preserve">Zgodność robót z dokumentacją projektową i ST </w:t>
      </w:r>
    </w:p>
    <w:p w14:paraId="45BCC02F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Roboty powinny być wykonane zgodnie z dokumentacją projektową i specyfikacją techniczną oraz pisemnymi poleceniami inspektora nadzoru. Odbiór powinien być przeprowadzony w następujących fazach robót:</w:t>
      </w:r>
    </w:p>
    <w:p w14:paraId="75259759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-po dostarczeniu na budowę materiałów:</w:t>
      </w:r>
    </w:p>
    <w:p w14:paraId="3E2C2E17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 xml:space="preserve">   wymagana jakość materiałów powinna być potwierdzona przez producenta odpowiednimi dokumentami, oraz powinna obejmować sprawdzenie zgodności dostarczonych materiałów </w:t>
      </w:r>
      <w:r w:rsidRPr="00175B92">
        <w:rPr>
          <w:rFonts w:cs="Calibri"/>
          <w:bCs/>
        </w:rPr>
        <w:br/>
        <w:t>z dokumentacją projektową</w:t>
      </w:r>
    </w:p>
    <w:p w14:paraId="3FF0EC77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 xml:space="preserve">   Odbiór robót przeprowadza się przez sprawdzenie na podstawie oględzin i pomiarów wyrywkowych zgodności wykonania murów z technicznymi warunkami wykonania </w:t>
      </w:r>
      <w:r w:rsidRPr="00175B92">
        <w:rPr>
          <w:rFonts w:cs="Calibri"/>
          <w:bCs/>
        </w:rPr>
        <w:br/>
        <w:t xml:space="preserve">i obowiązującymi zasadami wiązania. W szczególności podlega sprawdzeniu: </w:t>
      </w:r>
    </w:p>
    <w:p w14:paraId="18AC6F58" w14:textId="77777777" w:rsidR="00175B92" w:rsidRPr="00175B92" w:rsidRDefault="00175B92" w:rsidP="00ED6934">
      <w:pPr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zgodność kształtu i głównych wymiarów muru z dokumentacją techniczną</w:t>
      </w:r>
    </w:p>
    <w:p w14:paraId="2A383BD7" w14:textId="77777777" w:rsidR="00175B92" w:rsidRPr="00175B92" w:rsidRDefault="00175B92" w:rsidP="00ED6934">
      <w:pPr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grubość muru</w:t>
      </w:r>
    </w:p>
    <w:p w14:paraId="4A5C7BC6" w14:textId="77777777" w:rsidR="00175B92" w:rsidRPr="00175B92" w:rsidRDefault="00175B92" w:rsidP="00ED6934">
      <w:pPr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wymiary otworów okiennych i drzwiowych</w:t>
      </w:r>
    </w:p>
    <w:p w14:paraId="59053E82" w14:textId="77777777" w:rsidR="00175B92" w:rsidRPr="00175B92" w:rsidRDefault="00175B92" w:rsidP="00ED6934">
      <w:pPr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pionowość powierzchni i krawędzi</w:t>
      </w:r>
    </w:p>
    <w:p w14:paraId="393BEA6D" w14:textId="77777777" w:rsidR="00175B92" w:rsidRPr="00175B92" w:rsidRDefault="00175B92" w:rsidP="00ED6934">
      <w:pPr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 xml:space="preserve">poziomość warstw </w:t>
      </w:r>
    </w:p>
    <w:p w14:paraId="4A9D3256" w14:textId="77777777" w:rsidR="00175B92" w:rsidRPr="00175B92" w:rsidRDefault="00175B92" w:rsidP="00ED6934">
      <w:pPr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zgodność użytych materiałów z wymaganiami projektu</w:t>
      </w:r>
    </w:p>
    <w:p w14:paraId="0BA0E5D0" w14:textId="77777777" w:rsidR="00175B92" w:rsidRPr="00175B92" w:rsidRDefault="00175B92" w:rsidP="00ED6934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Odbiór robót zanikających lub ulegających zakryciu</w:t>
      </w:r>
    </w:p>
    <w:p w14:paraId="369D0480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Podstawą odbioru robót zanikających lub ulegających zakryciu jest:</w:t>
      </w:r>
    </w:p>
    <w:p w14:paraId="40C27539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•</w:t>
      </w:r>
      <w:r w:rsidRPr="00175B92">
        <w:rPr>
          <w:rFonts w:cs="Calibri"/>
          <w:bCs/>
        </w:rPr>
        <w:tab/>
        <w:t>pisemne stwierdzenie Inspektora nadzoru w dzienniku budowy o wykonaniu robot zgodnie z dokumentacją projektową i specyfikacją techniczną,</w:t>
      </w:r>
    </w:p>
    <w:p w14:paraId="7F17D38F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•</w:t>
      </w:r>
      <w:r w:rsidRPr="00175B92">
        <w:rPr>
          <w:rFonts w:cs="Calibri"/>
          <w:bCs/>
        </w:rPr>
        <w:tab/>
        <w:t>inne pisemne stwierdzenie Inspektora nadzoru o wykonaniu robót.</w:t>
      </w:r>
    </w:p>
    <w:p w14:paraId="501C1C92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lastRenderedPageBreak/>
        <w:t>Zakres robót zanikających lub ulegających zakryciu określają pisemne stwierdzenia Inspektora nadzoru lub inne dokumenty potwierdzone przez Inspektora nadzoru.</w:t>
      </w:r>
    </w:p>
    <w:p w14:paraId="6180DE2F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Odbioru robót zanikających lub ulegających zakryciu dokonujemy na podstawie:</w:t>
      </w:r>
    </w:p>
    <w:p w14:paraId="27D8A66A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 xml:space="preserve">- wpisu Inspektora nadzoru w dzienniku budowy o wykonaniu robót zgodnie z dokumentacją projektową i specyfikacją  techniczną  </w:t>
      </w:r>
    </w:p>
    <w:p w14:paraId="3D74F538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 innych zapisów Inspektora nadzoru o wykonaniu robót</w:t>
      </w:r>
    </w:p>
    <w:p w14:paraId="4AF02E79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 xml:space="preserve">   Zakres robót zanikających lub ulegających zakryciu pisemnie określa Inspektor nadzoru lub dokumenty potwierdzone przez Inspektora nadzoru.</w:t>
      </w:r>
    </w:p>
    <w:p w14:paraId="7B33BC95" w14:textId="77777777" w:rsidR="00175B92" w:rsidRPr="00175B92" w:rsidRDefault="00175B92" w:rsidP="00ED6934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75B92">
        <w:rPr>
          <w:rFonts w:cs="Calibri"/>
          <w:b/>
          <w:bCs/>
        </w:rPr>
        <w:t>Odbiór końcowy</w:t>
      </w:r>
    </w:p>
    <w:p w14:paraId="0AD69E29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Odbiór końcowy odbywa się po pisemnym stwierdzeniu przez Inspektora nadzoru w dzienniku budowy zakończenia robót i spełnieniu innych warunków dotyczących tych robót, zawartych w umowie.</w:t>
      </w:r>
    </w:p>
    <w:p w14:paraId="667E5273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Podstawę odbioru robót murowych stanowią następujące dokumenty:</w:t>
      </w:r>
    </w:p>
    <w:p w14:paraId="172DF187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dokumentacja techniczna</w:t>
      </w:r>
    </w:p>
    <w:p w14:paraId="58978329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dziennik budowy</w:t>
      </w:r>
    </w:p>
    <w:p w14:paraId="478FA1CC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zaświadczenia o jakości materiałów i wyrobów dostarczonych na budowę w</w:t>
      </w:r>
    </w:p>
    <w:p w14:paraId="6C3EEA25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postaci atestu, certyfikatu jakości lub deklaracji zgodności</w:t>
      </w:r>
    </w:p>
    <w:p w14:paraId="44A981E1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protokoły odbioru materiałów i wyrobów</w:t>
      </w:r>
    </w:p>
    <w:p w14:paraId="35E87911" w14:textId="77777777" w:rsid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protokoły odbioru poszczególnych etapów lub elementów robót</w:t>
      </w:r>
    </w:p>
    <w:p w14:paraId="32796355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- wyniki badań laboratoryjnych materiałów i wyrobów, jeśli były zalecane przez Nadzór Inwestycyjny</w:t>
      </w:r>
      <w:r w:rsidRPr="00175B92">
        <w:rPr>
          <w:rFonts w:cs="Calibri"/>
          <w:bCs/>
        </w:rPr>
        <w:br/>
        <w:t>- ekspertyzy techniczne, jeśli były wykonywane przed odbiorem budynku</w:t>
      </w:r>
    </w:p>
    <w:p w14:paraId="75E48BC4" w14:textId="77777777" w:rsidR="00175B92" w:rsidRPr="00175B92" w:rsidRDefault="00175B92" w:rsidP="00175B92">
      <w:pPr>
        <w:spacing w:after="0"/>
        <w:jc w:val="both"/>
        <w:rPr>
          <w:rFonts w:cs="Calibri"/>
          <w:bCs/>
        </w:rPr>
      </w:pPr>
      <w:r w:rsidRPr="00175B92">
        <w:rPr>
          <w:rFonts w:cs="Calibri"/>
          <w:bCs/>
        </w:rPr>
        <w:t>Odbiór pogwarancyjny dokonywany jest na podstawie oceny wizualnej obiektu dokonanej przez Nadzór Inwestycyjny przy udziale Wykonawcy.</w:t>
      </w:r>
    </w:p>
    <w:p w14:paraId="5BD2E0E0" w14:textId="77777777" w:rsidR="00AF1E89" w:rsidRPr="00AC1E20" w:rsidRDefault="00AF1E89" w:rsidP="00AC1E20">
      <w:pPr>
        <w:spacing w:after="0"/>
        <w:jc w:val="both"/>
        <w:rPr>
          <w:rFonts w:cs="Calibri"/>
          <w:bCs/>
        </w:rPr>
      </w:pPr>
    </w:p>
    <w:p w14:paraId="4409E92F" w14:textId="77777777" w:rsidR="00307154" w:rsidRPr="00174858" w:rsidRDefault="00307154" w:rsidP="00ED6934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174858">
        <w:rPr>
          <w:rFonts w:cs="Calibri"/>
          <w:b/>
          <w:bCs/>
        </w:rPr>
        <w:t>Dokumenty odniesienia</w:t>
      </w:r>
    </w:p>
    <w:p w14:paraId="4B439AEC" w14:textId="77777777"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14:paraId="7B9B2A52" w14:textId="77777777" w:rsidR="00307154" w:rsidRPr="005E7EE0" w:rsidRDefault="00307154" w:rsidP="00ED6934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14:paraId="0AB37CC9" w14:textId="77777777" w:rsidR="00307154" w:rsidRPr="005E7EE0" w:rsidRDefault="00307154" w:rsidP="00ED6934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14:paraId="22C6DB33" w14:textId="77777777" w:rsidR="00307154" w:rsidRPr="005E7EE0" w:rsidRDefault="00307154" w:rsidP="00ED6934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14:paraId="41D40580" w14:textId="77777777" w:rsidR="00307154" w:rsidRPr="005E7EE0" w:rsidRDefault="00307154" w:rsidP="00ED6934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14:paraId="7DE3CE65" w14:textId="77777777" w:rsidR="00307154" w:rsidRPr="005E7EE0" w:rsidRDefault="00307154" w:rsidP="00ED6934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14:paraId="27720329" w14:textId="77777777" w:rsidR="00307154" w:rsidRPr="005E7EE0" w:rsidRDefault="00307154" w:rsidP="00ED6934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14:paraId="5BF00925" w14:textId="77777777" w:rsidR="00C13037" w:rsidRPr="005E7EE0" w:rsidRDefault="00C13037" w:rsidP="00C13037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p w14:paraId="2CBFCE39" w14:textId="48ACE459" w:rsidR="00C13037" w:rsidRDefault="00C13037" w:rsidP="00C13037">
      <w:pPr>
        <w:spacing w:after="0"/>
        <w:jc w:val="both"/>
        <w:rPr>
          <w:rFonts w:cs="Calibri"/>
          <w:bCs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662"/>
      </w:tblGrid>
      <w:tr w:rsidR="00DF4673" w:rsidRPr="00DF4673" w14:paraId="4C3B7B0A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546BC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PN-B-12012:2007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79567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Określanie odporności na zamrażanie-odmrażanie elementów murowych ceramicznych</w:t>
            </w:r>
          </w:p>
        </w:tc>
      </w:tr>
      <w:tr w:rsidR="00DF4673" w:rsidRPr="00DF4673" w14:paraId="4D860C4F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C1AAE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1008:2004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C85C35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Woda zarobowa do betonu - Specyfikacja pobierania próbek, badanie i ocena przydatności wody zarobowej do betonu, w tym wody odzyskanej z procesów produkcji betonu</w:t>
            </w:r>
          </w:p>
        </w:tc>
      </w:tr>
      <w:tr w:rsidR="00DF4673" w:rsidRPr="00DF4673" w14:paraId="62682B4A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30F3D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1015-1:2000/A1:2007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C5726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 xml:space="preserve">Metody badań zapraw do murów - Określenie rozkładu wielkości </w:t>
            </w:r>
            <w:proofErr w:type="spellStart"/>
            <w:r w:rsidRPr="00DF4673">
              <w:rPr>
                <w:rFonts w:eastAsia="Times New Roman" w:cs="Calibri"/>
                <w:color w:val="000000"/>
                <w:lang w:eastAsia="pl-PL"/>
              </w:rPr>
              <w:t>ziarn</w:t>
            </w:r>
            <w:proofErr w:type="spellEnd"/>
            <w:r w:rsidRPr="00DF4673">
              <w:rPr>
                <w:rFonts w:eastAsia="Times New Roman" w:cs="Calibri"/>
                <w:color w:val="000000"/>
                <w:lang w:eastAsia="pl-PL"/>
              </w:rPr>
              <w:t xml:space="preserve"> (metodą analizy sitowej)</w:t>
            </w:r>
          </w:p>
        </w:tc>
      </w:tr>
      <w:tr w:rsidR="00DF4673" w:rsidRPr="00DF4673" w14:paraId="02E15166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19198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1015-10:2001/A1:2007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B5AA5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Część 10: Określenie gęstości wysuszonej stwardniałej zaprawy</w:t>
            </w:r>
          </w:p>
        </w:tc>
      </w:tr>
      <w:tr w:rsidR="00DF4673" w:rsidRPr="00DF4673" w14:paraId="46247EF0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C6749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1015-11:2020-04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31BF6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Część 11: Określenie wytrzymałości na zginanie i ściskanie stwardniałej zaprawy</w:t>
            </w:r>
          </w:p>
        </w:tc>
      </w:tr>
      <w:tr w:rsidR="00DF4673" w:rsidRPr="00DF4673" w14:paraId="1781DEF9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69D79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1015-12:2016-08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3EE18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 xml:space="preserve">Metody badań zapraw do murów - Część 12: Określenie przyczepności do podłoża stwardniałych zapraw do tynkowania zewnętrznego i </w:t>
            </w:r>
            <w:r w:rsidRPr="00DF4673">
              <w:rPr>
                <w:rFonts w:eastAsia="Times New Roman" w:cs="Calibri"/>
                <w:color w:val="000000"/>
                <w:lang w:eastAsia="pl-PL"/>
              </w:rPr>
              <w:lastRenderedPageBreak/>
              <w:t>wewnętrznego</w:t>
            </w:r>
          </w:p>
        </w:tc>
      </w:tr>
      <w:tr w:rsidR="00DF4673" w:rsidRPr="00DF4673" w14:paraId="6D30ADDC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3A3A3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lastRenderedPageBreak/>
              <w:t>PN-EN 1015-17:2002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9925C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Część 17: Określenie zawartości chlorków rozpuszczalnych w wodzie w świeżych zaprawach</w:t>
            </w:r>
          </w:p>
        </w:tc>
      </w:tr>
      <w:tr w:rsidR="00DF4673" w:rsidRPr="00DF4673" w14:paraId="0C1E375A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AB3F9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1015-17:2002/A1:2005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275CC2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Część 17: Określenie zawartości chlorków rozpuszczalnych w wodzie w świeżych zaprawach</w:t>
            </w:r>
          </w:p>
        </w:tc>
      </w:tr>
      <w:tr w:rsidR="00DF4673" w:rsidRPr="00DF4673" w14:paraId="335D640A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E25FF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1015-18:2003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4B195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Część 18: Określenie współczynnika absorpcji wody spowodowanej podciąganiem kapilarnym stwardniałej zaprawy</w:t>
            </w:r>
          </w:p>
        </w:tc>
      </w:tr>
      <w:tr w:rsidR="00DF4673" w:rsidRPr="00DF4673" w14:paraId="68428465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3B557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1015-19:2000/A1:2005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E09F0C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Określenie współczynnika przenoszenia pary wodnej w stwardniałych zaprawach na obrzutkę i do tynkowania</w:t>
            </w:r>
          </w:p>
        </w:tc>
      </w:tr>
      <w:tr w:rsidR="00DF4673" w:rsidRPr="00DF4673" w14:paraId="6474AEFB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E0C67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1015-2:2000/A1:2007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EB2F9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Pobieranie i przygotowanie próbek zapraw do badań</w:t>
            </w:r>
          </w:p>
        </w:tc>
      </w:tr>
      <w:tr w:rsidR="00DF4673" w:rsidRPr="00DF4673" w14:paraId="3280BC2F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9B9AF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1015-21:2003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55AFF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Część 21: Określenie odpowiedniości jednowarstwowych zapraw na obrzutkę do podłoży</w:t>
            </w:r>
          </w:p>
        </w:tc>
      </w:tr>
      <w:tr w:rsidR="00DF4673" w:rsidRPr="00DF4673" w14:paraId="582406F3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01EDC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1015-3:2000/A1:2005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C91D9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Określenie konsystencji świeżej zaprawy (za pomocą stolika rozpływu)</w:t>
            </w:r>
          </w:p>
        </w:tc>
      </w:tr>
      <w:tr w:rsidR="00DF4673" w:rsidRPr="00DF4673" w14:paraId="16FC1957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B7F4D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1015-3:2000/A2:2007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BFA3D0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Określenie konsystencji świeżej zaprawy (za pomocą stolika rozpływu)</w:t>
            </w:r>
          </w:p>
        </w:tc>
      </w:tr>
      <w:tr w:rsidR="00DF4673" w:rsidRPr="00DF4673" w14:paraId="6DAD42B7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4C99D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1015-4:2000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76FEB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Określenie konsystencji świeżej zaprawy (za pomocą penetrometru)</w:t>
            </w:r>
          </w:p>
        </w:tc>
      </w:tr>
      <w:tr w:rsidR="00DF4673" w:rsidRPr="00DF4673" w14:paraId="4F1F35E3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55719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1015-6:2000/A1:2007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B3439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Określenie gęstości objętościowej świeżej zaprawy</w:t>
            </w:r>
          </w:p>
        </w:tc>
      </w:tr>
      <w:tr w:rsidR="00DF4673" w:rsidRPr="00DF4673" w14:paraId="78A103D8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334BB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1015-7:2000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AE006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Określenie zawartości powietrza w świeżej zaprawie</w:t>
            </w:r>
          </w:p>
        </w:tc>
      </w:tr>
      <w:tr w:rsidR="00DF4673" w:rsidRPr="00DF4673" w14:paraId="5A65B733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D621D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1015-9:2001/A1:2007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9DB10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zapraw do murów - Część 9: Określenie czasu zachowania właściwości roboczych i czasu korekty świeżej zaprawy</w:t>
            </w:r>
          </w:p>
        </w:tc>
      </w:tr>
      <w:tr w:rsidR="00DF4673" w:rsidRPr="00DF4673" w14:paraId="42F3AD65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1F6D3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1052-1:2000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D6A138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murów - Określenie wytrzymałości na ściskanie</w:t>
            </w:r>
          </w:p>
        </w:tc>
      </w:tr>
      <w:tr w:rsidR="00DF4673" w:rsidRPr="00DF4673" w14:paraId="2C0FF636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FE38B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1052-2:2016-06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91BE5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murów - Część 2: Określenie wytrzymałości na zginanie</w:t>
            </w:r>
          </w:p>
        </w:tc>
      </w:tr>
      <w:tr w:rsidR="00DF4673" w:rsidRPr="00DF4673" w14:paraId="7A376390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53D2C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1052-3:2004/A1:2009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8ACB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murów - Część 3: Określenie początkowej wytrzymałości muru na ścinanie</w:t>
            </w:r>
          </w:p>
        </w:tc>
      </w:tr>
      <w:tr w:rsidR="00DF4673" w:rsidRPr="00DF4673" w14:paraId="2A709551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37F3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1052-4:2002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64ADE9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murów - Część 4: Określenie wytrzymałości na ścinanie muru z warstwą izolacji przeciwwodnej</w:t>
            </w:r>
          </w:p>
        </w:tc>
      </w:tr>
      <w:tr w:rsidR="00DF4673" w:rsidRPr="00DF4673" w14:paraId="5B1F08EB" w14:textId="77777777" w:rsidTr="00DF4673">
        <w:trPr>
          <w:trHeight w:val="6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D1DD1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1052-5:2005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DA927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murów - Część 5: Określenie wytrzymałości na rozciąganie przy zginaniu metodą skręcania w płaszczyźnie prostopadłej do płaszczyzny muru i przy zniszczeniu rysą w spoinie wspornej</w:t>
            </w:r>
          </w:p>
        </w:tc>
      </w:tr>
      <w:tr w:rsidR="00DF4673" w:rsidRPr="00DF4673" w14:paraId="0A5D5886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611B6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13084-4:2006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25401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Kominy wolno stojące - Część 4: Wykładziny murowe - Projektowanie i wykonanie</w:t>
            </w:r>
          </w:p>
        </w:tc>
      </w:tr>
      <w:tr w:rsidR="00DF4673" w:rsidRPr="00DF4673" w14:paraId="7D5ACA66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9BBF6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13084-5:2005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4C9773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Kominy wolno stojące - Część 5: Materiał dla wykładziny murowej - Specyfikacja wyrobu</w:t>
            </w:r>
          </w:p>
        </w:tc>
      </w:tr>
      <w:tr w:rsidR="00DF4673" w:rsidRPr="00DF4673" w14:paraId="7D219746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3B107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13501-2:2016-07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B2AB1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Klasyfikacja ogniowa wyrobów budowlanych i elementów budynków - Część 2: Klasyfikacja na podstawie wyników badań odporności ogniowej, z wyłączeniem instalacji wentylacyjnej</w:t>
            </w:r>
          </w:p>
        </w:tc>
      </w:tr>
      <w:tr w:rsidR="00DF4673" w:rsidRPr="00DF4673" w14:paraId="03F6F8C7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54381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1364-1:2015-08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B7512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Badania odporności ogniowej elementów nienośnych - Część 1: Ściany</w:t>
            </w:r>
          </w:p>
        </w:tc>
      </w:tr>
      <w:tr w:rsidR="00DF4673" w:rsidRPr="00DF4673" w14:paraId="746D1EBB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2977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15027+A1:2009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69EB1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Przenośne piły do murów - Bezpieczeństwo</w:t>
            </w:r>
          </w:p>
        </w:tc>
      </w:tr>
      <w:tr w:rsidR="00DF4673" w:rsidRPr="00DF4673" w14:paraId="51ECBC3E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0E76B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15080-12:2011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B488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Rozszerzone zastosowanie wyników badań odporności ogniowej - Część 12: Ściany nośne z elementów murowych</w:t>
            </w:r>
          </w:p>
        </w:tc>
      </w:tr>
      <w:tr w:rsidR="00DF4673" w:rsidRPr="00DF4673" w14:paraId="7D7FCE4D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E7383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1745:2020-12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A22C07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Mury i wyroby murowe - Metody określania właściwości cieplnych</w:t>
            </w:r>
          </w:p>
        </w:tc>
      </w:tr>
      <w:tr w:rsidR="00DF4673" w:rsidRPr="00DF4673" w14:paraId="2BDF1D7B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A54F0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771-1+A1:2015-10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9437F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Wymagania dotyczące elementów murowych - Część 1: Elementy murowe ceramiczne</w:t>
            </w:r>
          </w:p>
        </w:tc>
      </w:tr>
      <w:tr w:rsidR="00DF4673" w:rsidRPr="00DF4673" w14:paraId="09B3AE12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AAFF5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771-2+A1:2015-10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D0D4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 xml:space="preserve">Wymagania dotyczące elementów murowych - Część 2: Elementy </w:t>
            </w:r>
            <w:r w:rsidRPr="00DF4673">
              <w:rPr>
                <w:rFonts w:eastAsia="Times New Roman" w:cs="Calibri"/>
                <w:color w:val="000000"/>
                <w:lang w:eastAsia="pl-PL"/>
              </w:rPr>
              <w:lastRenderedPageBreak/>
              <w:t>murowe silikatowe</w:t>
            </w:r>
          </w:p>
        </w:tc>
      </w:tr>
      <w:tr w:rsidR="00DF4673" w:rsidRPr="00DF4673" w14:paraId="320D3FFA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9A861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lastRenderedPageBreak/>
              <w:t>PN-EN 771-3+A1:2015-10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2D61C9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Wymagania dotyczące elementów murowych - Część 3: Elementy murowe z betonu kruszywowego (z kruszywami zwykłymi i lekkimi)</w:t>
            </w:r>
          </w:p>
        </w:tc>
      </w:tr>
      <w:tr w:rsidR="00DF4673" w:rsidRPr="00DF4673" w14:paraId="14157446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C1923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771-4+A1:2015-10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D19D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Wymagania dotyczące elementów murowych - Część 4: Elementy murowe z autoklawizowanego betonu komórkowego</w:t>
            </w:r>
          </w:p>
        </w:tc>
      </w:tr>
      <w:tr w:rsidR="00DF4673" w:rsidRPr="00DF4673" w14:paraId="7E1D5F94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A5E20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771-5+A1:2015-10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9AA0D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Wymagania dotyczące elementów murowych - Część 5: Elementy murowe z kamienia sztucznego</w:t>
            </w:r>
          </w:p>
        </w:tc>
      </w:tr>
      <w:tr w:rsidR="00DF4673" w:rsidRPr="00DF4673" w14:paraId="10EBF527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8AD12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771-6+A1:2015-10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47291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Wymagania dotyczące elementów murowych - Część 6: Elementy murowe z kamienia naturalnego</w:t>
            </w:r>
          </w:p>
        </w:tc>
      </w:tr>
      <w:tr w:rsidR="00DF4673" w:rsidRPr="00DF4673" w14:paraId="64292AD5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88FC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772-1+A1:2015-10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21222E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1: Określenie wytrzymałości na ściskanie</w:t>
            </w:r>
          </w:p>
        </w:tc>
      </w:tr>
      <w:tr w:rsidR="00DF4673" w:rsidRPr="00DF4673" w14:paraId="5162B9B8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D0B6B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772-10:2000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8BB9C5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Określenie wilgotności elementów silikatowych i elementów z autoklawizowanego betonu komórkowego</w:t>
            </w:r>
          </w:p>
        </w:tc>
      </w:tr>
      <w:tr w:rsidR="00DF4673" w:rsidRPr="00DF4673" w14:paraId="7B7DD07F" w14:textId="77777777" w:rsidTr="00DF4673">
        <w:trPr>
          <w:trHeight w:val="6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BAB1F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772-11:2011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0B7F3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11: Określenie absorpcji wody elementów murowych z betonu kruszywowego, kamienia sztucznego i kamienia naturalnego spowodowanej podciąganiem kapilarnym oraz początkowej absorpcji wody elementów murowych ceramicznych</w:t>
            </w:r>
          </w:p>
        </w:tc>
      </w:tr>
      <w:tr w:rsidR="00DF4673" w:rsidRPr="00DF4673" w14:paraId="67D9D5F8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49592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772-13:2001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AB836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13: Określenie gęstości netto i gęstości brutto elementów murowych w stanie suchym (z wyjątkiem kamienia naturalnego)</w:t>
            </w:r>
          </w:p>
        </w:tc>
      </w:tr>
      <w:tr w:rsidR="00DF4673" w:rsidRPr="00DF4673" w14:paraId="3108E4C0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26994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772-14:2002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92E7B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14: Określenie zmian liniowych pod wpływem wilgoci elementów murowych z betonu kruszywowego i kamienia sztucznego</w:t>
            </w:r>
          </w:p>
        </w:tc>
      </w:tr>
      <w:tr w:rsidR="00DF4673" w:rsidRPr="00DF4673" w14:paraId="74191E76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C58D7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772-15:2002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2907B2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15: Oznaczanie współczynnika przepuszczania pary wodnej elementów murowych z autoklawizowanego betonu komórkowego</w:t>
            </w:r>
          </w:p>
        </w:tc>
      </w:tr>
      <w:tr w:rsidR="00DF4673" w:rsidRPr="00DF4673" w14:paraId="643F6E12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29D2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772-16:2011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41752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16: Określenie wymiarów</w:t>
            </w:r>
          </w:p>
        </w:tc>
      </w:tr>
      <w:tr w:rsidR="00DF4673" w:rsidRPr="00DF4673" w14:paraId="369B3C71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E8BBE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772-18:2011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3E4BE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18: Określenie odporności na zamrażanie-odmrażanie elementów murowych silikatowych</w:t>
            </w:r>
          </w:p>
        </w:tc>
      </w:tr>
      <w:tr w:rsidR="00DF4673" w:rsidRPr="00DF4673" w14:paraId="3792E064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A98B5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772-19:2002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159E8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19: Określenie rozszerzalności pod wpływem wilgoci dużych, poziomo drążonych elementów murowych ceramicznych</w:t>
            </w:r>
          </w:p>
        </w:tc>
      </w:tr>
      <w:tr w:rsidR="00DF4673" w:rsidRPr="00DF4673" w14:paraId="5802E083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71E45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772-2:2006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0EA8C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2: Określenie procentowego udziału powierzchni drążeń w elementach murowych (na podstawie odcisku na papierze)</w:t>
            </w:r>
          </w:p>
        </w:tc>
      </w:tr>
      <w:tr w:rsidR="00DF4673" w:rsidRPr="00DF4673" w14:paraId="4F8D4FA9" w14:textId="77777777" w:rsidTr="00DF4673">
        <w:trPr>
          <w:trHeight w:val="6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BF1C3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772-20:2002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67618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20: Oznaczanie płaskości powierzchni licowych elementów murowych z betonu kruszywowego, z kamienia sztucznego i z kamienia naturalnego</w:t>
            </w:r>
          </w:p>
        </w:tc>
      </w:tr>
      <w:tr w:rsidR="00DF4673" w:rsidRPr="00DF4673" w14:paraId="5C5FD23D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5DCAC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772-20:2002/A1:2005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FA593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20: Oznaczanie płaskości powierzchni licowych elementów murowych</w:t>
            </w:r>
          </w:p>
        </w:tc>
      </w:tr>
      <w:tr w:rsidR="00DF4673" w:rsidRPr="00DF4673" w14:paraId="3166C6D0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16632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772-21:2011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A658E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21: Określanie absorpcji wody ceramicznych i silikatowych elementów murowych przez absorpcję zimnej wody</w:t>
            </w:r>
          </w:p>
        </w:tc>
      </w:tr>
      <w:tr w:rsidR="00DF4673" w:rsidRPr="00DF4673" w14:paraId="2E36F04D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5E550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772-22:2019-01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B2067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22: Określenie odporności na zamrażanie-odmrażanie elementów murowych ceramicznych</w:t>
            </w:r>
          </w:p>
        </w:tc>
      </w:tr>
      <w:tr w:rsidR="00DF4673" w:rsidRPr="00DF4673" w14:paraId="32E6CCF3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D8E7F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772-3:2000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04D6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Określenie objętości netto i udziału procentowego drążeń elementów murowych ceramicznych przez ważenie hydrostatyczne</w:t>
            </w:r>
          </w:p>
        </w:tc>
      </w:tr>
      <w:tr w:rsidR="00DF4673" w:rsidRPr="00DF4673" w14:paraId="222AD1FE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1606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772-4:2001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ECB00D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 xml:space="preserve">Metody badań elementów murowych - Część 4: Określenie gęstości, </w:t>
            </w:r>
            <w:r w:rsidRPr="00DF4673">
              <w:rPr>
                <w:rFonts w:eastAsia="Times New Roman" w:cs="Calibri"/>
                <w:color w:val="000000"/>
                <w:lang w:eastAsia="pl-PL"/>
              </w:rPr>
              <w:lastRenderedPageBreak/>
              <w:t>gęstości objętościowej oraz porowatości całkowitej i otwartej elementów murowych z kamienia naturalnego</w:t>
            </w:r>
          </w:p>
        </w:tc>
      </w:tr>
      <w:tr w:rsidR="00DF4673" w:rsidRPr="00DF4673" w14:paraId="3E450467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6CCFF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lastRenderedPageBreak/>
              <w:t>PN-EN 772-5:2016-06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B336A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5: Określenie zawartości aktywnych soli rozpuszczalnych w elementach murowych ceramicznych</w:t>
            </w:r>
          </w:p>
        </w:tc>
      </w:tr>
      <w:tr w:rsidR="00DF4673" w:rsidRPr="00DF4673" w14:paraId="73331E7B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6CBC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772-6:2002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5058E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6: Określenie wytrzymałości na rozciąganie przy zginaniu elementów murowych z betonu kruszywowego</w:t>
            </w:r>
          </w:p>
        </w:tc>
      </w:tr>
      <w:tr w:rsidR="00DF4673" w:rsidRPr="00DF4673" w14:paraId="50F9A0B7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5454E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772-7:2000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0751D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Określenie absorpcji wody przez elementy murowe ceramiczne stosowane w warstwach odpornych na wilgoć, za pomocą gotowania w wodzie</w:t>
            </w:r>
          </w:p>
        </w:tc>
      </w:tr>
      <w:tr w:rsidR="00DF4673" w:rsidRPr="00DF4673" w14:paraId="2216B9FD" w14:textId="77777777" w:rsidTr="00DF4673">
        <w:trPr>
          <w:trHeight w:val="6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77BC1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772-9:2006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3447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elementów murowych - Część 9: Określenie objętości brutto, objętości netto i udziału procentowego drążeń elementów murowych ceramicznych i silikatowych przez napełnianie piaskiem</w:t>
            </w:r>
          </w:p>
        </w:tc>
      </w:tr>
      <w:tr w:rsidR="00DF4673" w:rsidRPr="00DF4673" w14:paraId="6FA4A628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9E531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845-1+A1:2016-10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A712E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Specyfikacja wyrobów dodatkowych do murów - Część 1: Kotwy, listwy kotwiące, wieszaki i wsporniki</w:t>
            </w:r>
          </w:p>
        </w:tc>
      </w:tr>
      <w:tr w:rsidR="00DF4673" w:rsidRPr="00DF4673" w14:paraId="36E4E80C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7526E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845-2+A1:2016-10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21037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Specyfikacja wyrobów dodatkowych do murów - Część 2: Nadproża</w:t>
            </w:r>
          </w:p>
        </w:tc>
      </w:tr>
      <w:tr w:rsidR="00DF4673" w:rsidRPr="00DF4673" w14:paraId="31BCC350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6D494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845-3+A1:2016-10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35D86E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Specyfikacja wyrobów dodatkowych do murów - Część 3: Stalowe zbrojenie do spoin wspornych</w:t>
            </w:r>
          </w:p>
        </w:tc>
      </w:tr>
      <w:tr w:rsidR="00DF4673" w:rsidRPr="00DF4673" w14:paraId="3DE08C38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D9540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846-10:2002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739324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wyrobów dodatkowych do wznoszenia murów - Część 10: Określenie nośności oraz charakterystyki obciążenie-ugięcie wieszaków wspornikowych</w:t>
            </w:r>
          </w:p>
        </w:tc>
      </w:tr>
      <w:tr w:rsidR="00DF4673" w:rsidRPr="00DF4673" w14:paraId="66A19BA4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00666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846-11:2002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270E3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wyrobów dodatkowych do wznoszenia murów - Część 11: Określenie wymiarów i odchyłek od zamierzonego kształtu belek nadprożowych</w:t>
            </w:r>
          </w:p>
        </w:tc>
      </w:tr>
      <w:tr w:rsidR="00DF4673" w:rsidRPr="00DF4673" w14:paraId="4BDBB737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CC0FC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846-13:2003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47EA8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wyrobów dodatkowych do wznoszenia murów - Część 13: Określenie odporności powłok organicznych na uderzenie, ścieranie oraz korozję</w:t>
            </w:r>
          </w:p>
        </w:tc>
      </w:tr>
      <w:tr w:rsidR="00DF4673" w:rsidRPr="00DF4673" w14:paraId="202CE95C" w14:textId="77777777" w:rsidTr="00DF4673">
        <w:trPr>
          <w:trHeight w:val="6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09E0F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846-14:2012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C808F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wyrobów dodatkowych do wznoszenia murów - Część 14: Określanie początkowej wytrzymałości na ścinanie między częścią prefabrykowaną nadproża warstwowego a murem powyżej niego</w:t>
            </w:r>
          </w:p>
        </w:tc>
      </w:tr>
      <w:tr w:rsidR="00DF4673" w:rsidRPr="00DF4673" w14:paraId="5C2D4D75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1281D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846-2:2002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CDB7F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wyrobów dodatkowych do wznoszenia murów - Część 2: Określenie nośności na wyrywanie z zaprawy prefabrykowanego zbrojenia do spoin wspornych</w:t>
            </w:r>
          </w:p>
        </w:tc>
      </w:tr>
      <w:tr w:rsidR="00DF4673" w:rsidRPr="00DF4673" w14:paraId="5E15405F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175CB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846-3:2002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0C2FD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wyrobów dodatkowych do wznoszenia murów - Część 3: Określenie nośności na ścinanie połączeń spajanych prefabrykowanego zbrojenia do spoin wspornych</w:t>
            </w:r>
          </w:p>
        </w:tc>
      </w:tr>
      <w:tr w:rsidR="00DF4673" w:rsidRPr="00DF4673" w14:paraId="1D846773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35BE5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846-4:2003/A1:2005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942CC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wyrobów dodatkowych do wznoszenia murów - Część 4: Określenie nośności oraz zależności obciążenie-odkształcenie listew kotwiących</w:t>
            </w:r>
          </w:p>
        </w:tc>
      </w:tr>
      <w:tr w:rsidR="00DF4673" w:rsidRPr="00DF4673" w14:paraId="06A8557B" w14:textId="77777777" w:rsidTr="00DF4673">
        <w:trPr>
          <w:trHeight w:val="6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16A5C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846-5:2012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A457B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wyrobów dodatkowych do wznoszenia murów - Część 5: Określenie nośności na rozciąganie i ściskanie oraz sztywności kotew murowych (badanie na próbce składającej się z dwóch elementów murowych)</w:t>
            </w:r>
          </w:p>
        </w:tc>
      </w:tr>
      <w:tr w:rsidR="00DF4673" w:rsidRPr="00DF4673" w14:paraId="5CC0C045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40257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846-6:2012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A6EFE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wyrobów dodatkowych do wznoszenia murów - Część 6: Określenie nośności na rozciąganie i ściskanie oraz sztywności kotew murowych (badanie jednostronne)</w:t>
            </w:r>
          </w:p>
        </w:tc>
      </w:tr>
      <w:tr w:rsidR="00DF4673" w:rsidRPr="00DF4673" w14:paraId="257F98B4" w14:textId="77777777" w:rsidTr="00DF4673">
        <w:trPr>
          <w:trHeight w:val="6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CF82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846-7:2012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962C9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wyrobów dodatkowych do wznoszenia murów - Część 7: Określenie nośności na ścinanie oraz sztywności kotew i łączników (badanie na próbce składającej się z dwóch elementów murowych)</w:t>
            </w:r>
          </w:p>
        </w:tc>
      </w:tr>
      <w:tr w:rsidR="00DF4673" w:rsidRPr="00DF4673" w14:paraId="18FB69B7" w14:textId="77777777" w:rsidTr="00DF4673">
        <w:trPr>
          <w:trHeight w:val="6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20982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846-8:2002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038B14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wyrobów dodatkowych do wznoszenia murów - Część 8: Określenie nośności oraz zależności obciążenie-odkształcenie wieszaków do opierania drewnianych belek stropowych</w:t>
            </w:r>
          </w:p>
        </w:tc>
      </w:tr>
      <w:tr w:rsidR="00DF4673" w:rsidRPr="00DF4673" w14:paraId="75C67F8F" w14:textId="77777777" w:rsidTr="00DF4673">
        <w:trPr>
          <w:trHeight w:val="6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3573E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lastRenderedPageBreak/>
              <w:t>PN-EN 846-8:2002/A1:2006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69D20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wyrobów dodatkowych do wznoszenia murów - Część 8: Określenie nośności oraz zależności obciążenie-odkształcenie wieszaków do opierania drewnianych belek stropowych</w:t>
            </w:r>
          </w:p>
        </w:tc>
      </w:tr>
      <w:tr w:rsidR="00DF4673" w:rsidRPr="00DF4673" w14:paraId="2ABCDB63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87B83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846-9:2016-06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748B3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Metody badań wyrobów dodatkowych do wznoszenia murów - Część 9: Określenie odporności na zginanie i na ścinanie nadproży</w:t>
            </w:r>
          </w:p>
        </w:tc>
      </w:tr>
      <w:tr w:rsidR="00DF4673" w:rsidRPr="00DF4673" w14:paraId="2C141594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92F12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934-3+A1:2012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F91AA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Domieszki do betonu, zaprawy i zaczynu - Część 3: Domieszki do zapraw do murów - Definicje, wymagania, zgodność, oznakowanie i etykietowanie</w:t>
            </w:r>
          </w:p>
        </w:tc>
      </w:tr>
      <w:tr w:rsidR="00DF4673" w:rsidRPr="00DF4673" w14:paraId="06E1E942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C9B1F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998-1:2016-12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7AB42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Wymagania dotyczące zaprawy do murów - Część 1: Zaprawa do tynkowania zewnętrznego i wewnętrznego</w:t>
            </w:r>
          </w:p>
        </w:tc>
      </w:tr>
      <w:tr w:rsidR="00DF4673" w:rsidRPr="00DF4673" w14:paraId="5CD8D557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E3A22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998-2:2016-12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8E3D2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Wymagania dotyczące zaprawy do murów - Część 2: Zaprawa murarska</w:t>
            </w:r>
          </w:p>
        </w:tc>
      </w:tr>
      <w:tr w:rsidR="00DF4673" w:rsidRPr="00DF4673" w14:paraId="6F55024B" w14:textId="77777777" w:rsidTr="00DF467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D5395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PN-EN ISO 10456:2009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C40F7" w14:textId="77777777" w:rsidR="00DF4673" w:rsidRPr="00DF4673" w:rsidRDefault="00DF4673" w:rsidP="00DF467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DF4673">
              <w:rPr>
                <w:rFonts w:eastAsia="Times New Roman" w:cs="Calibri"/>
                <w:color w:val="000000"/>
                <w:lang w:eastAsia="pl-PL"/>
              </w:rPr>
              <w:t>Materiały i wyroby budowlane - Właściwości cieplno-wilgotnościowe - Tabelaryczne wartości obliczeniowe i procedury określania deklarowanych i obliczeniowych wartości cieplnych</w:t>
            </w:r>
          </w:p>
        </w:tc>
      </w:tr>
    </w:tbl>
    <w:p w14:paraId="2BC10F0A" w14:textId="77777777" w:rsidR="00DF4673" w:rsidRDefault="00DF4673" w:rsidP="00C13037">
      <w:pPr>
        <w:spacing w:after="0"/>
        <w:jc w:val="both"/>
        <w:rPr>
          <w:rFonts w:cs="Calibri"/>
          <w:bCs/>
        </w:rPr>
      </w:pPr>
    </w:p>
    <w:p w14:paraId="55572EDB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14:paraId="0CAD72B6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14:paraId="751659D9" w14:textId="77777777" w:rsidR="0054386D" w:rsidRDefault="0054386D" w:rsidP="00AC274D">
      <w:pPr>
        <w:spacing w:after="0"/>
        <w:jc w:val="both"/>
        <w:rPr>
          <w:rFonts w:cs="Calibri"/>
          <w:bCs/>
        </w:rPr>
      </w:pPr>
    </w:p>
    <w:sectPr w:rsidR="0054386D" w:rsidSect="00FC71E4">
      <w:footerReference w:type="defaul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3986E" w14:textId="77777777" w:rsidR="00EA260F" w:rsidRDefault="00EA260F" w:rsidP="00655659">
      <w:pPr>
        <w:spacing w:after="0" w:line="240" w:lineRule="auto"/>
      </w:pPr>
      <w:r>
        <w:separator/>
      </w:r>
    </w:p>
  </w:endnote>
  <w:endnote w:type="continuationSeparator" w:id="0">
    <w:p w14:paraId="65275D95" w14:textId="77777777" w:rsidR="00EA260F" w:rsidRDefault="00EA260F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E203F" w14:textId="77777777" w:rsidR="00A949BC" w:rsidRPr="00B42AED" w:rsidRDefault="00A949BC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Pr="00B42AED">
      <w:rPr>
        <w:sz w:val="18"/>
        <w:szCs w:val="18"/>
      </w:rPr>
      <w:fldChar w:fldCharType="separate"/>
    </w:r>
    <w:r w:rsidR="005C766C">
      <w:rPr>
        <w:noProof/>
        <w:sz w:val="18"/>
        <w:szCs w:val="18"/>
      </w:rPr>
      <w:t>14</w:t>
    </w:r>
    <w:r w:rsidRPr="00B42AED">
      <w:rPr>
        <w:sz w:val="18"/>
        <w:szCs w:val="18"/>
      </w:rPr>
      <w:fldChar w:fldCharType="end"/>
    </w:r>
  </w:p>
  <w:p w14:paraId="5097E64E" w14:textId="0F2A680B" w:rsidR="00A949BC" w:rsidRPr="00005E74" w:rsidRDefault="008F30E4" w:rsidP="00005E74">
    <w:pPr>
      <w:pStyle w:val="Stopka"/>
      <w:rPr>
        <w:bCs/>
        <w:sz w:val="18"/>
        <w:szCs w:val="18"/>
      </w:rPr>
    </w:pPr>
    <w:r w:rsidRPr="008F30E4">
      <w:rPr>
        <w:bCs/>
        <w:sz w:val="18"/>
        <w:szCs w:val="18"/>
      </w:rPr>
      <w:t>Roboty murowe</w:t>
    </w:r>
    <w:r w:rsidR="00A949BC">
      <w:rPr>
        <w:bCs/>
        <w:sz w:val="18"/>
        <w:szCs w:val="18"/>
      </w:rPr>
      <w:t xml:space="preserve"> – </w:t>
    </w:r>
    <w:r w:rsidRPr="008F30E4">
      <w:rPr>
        <w:bCs/>
        <w:sz w:val="18"/>
        <w:szCs w:val="18"/>
      </w:rPr>
      <w:t>B.04.00.00</w:t>
    </w:r>
  </w:p>
  <w:p w14:paraId="6E6B1ADF" w14:textId="77777777" w:rsidR="00A949BC" w:rsidRPr="00B42AED" w:rsidRDefault="00A949BC" w:rsidP="00005E74">
    <w:pPr>
      <w:pStyle w:val="Stopka"/>
      <w:jc w:val="center"/>
      <w:rPr>
        <w:sz w:val="18"/>
        <w:szCs w:val="18"/>
      </w:rPr>
    </w:pPr>
    <w:r w:rsidRPr="00B42AED">
      <w:rPr>
        <w:bCs/>
        <w:sz w:val="18"/>
        <w:szCs w:val="18"/>
      </w:rPr>
      <w:tab/>
    </w:r>
    <w:r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5C1F3" w14:textId="77777777" w:rsidR="00EA260F" w:rsidRDefault="00EA260F" w:rsidP="00655659">
      <w:pPr>
        <w:spacing w:after="0" w:line="240" w:lineRule="auto"/>
      </w:pPr>
      <w:r>
        <w:separator/>
      </w:r>
    </w:p>
  </w:footnote>
  <w:footnote w:type="continuationSeparator" w:id="0">
    <w:p w14:paraId="067EC792" w14:textId="77777777" w:rsidR="00EA260F" w:rsidRDefault="00EA260F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93E5062"/>
    <w:lvl w:ilvl="0">
      <w:numFmt w:val="decimal"/>
      <w:lvlText w:val="*"/>
      <w:lvlJc w:val="left"/>
    </w:lvl>
  </w:abstractNum>
  <w:abstractNum w:abstractNumId="1" w15:restartNumberingAfterBreak="0">
    <w:nsid w:val="09E13C64"/>
    <w:multiLevelType w:val="hybridMultilevel"/>
    <w:tmpl w:val="D8A020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117B6"/>
    <w:multiLevelType w:val="hybridMultilevel"/>
    <w:tmpl w:val="87D20F6A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A52767F"/>
    <w:multiLevelType w:val="hybridMultilevel"/>
    <w:tmpl w:val="B568E8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D3B70"/>
    <w:multiLevelType w:val="hybridMultilevel"/>
    <w:tmpl w:val="107A6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CE0E5A"/>
    <w:multiLevelType w:val="hybridMultilevel"/>
    <w:tmpl w:val="AFCA7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CC5FAD"/>
    <w:multiLevelType w:val="hybridMultilevel"/>
    <w:tmpl w:val="7B640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172A4"/>
    <w:multiLevelType w:val="hybridMultilevel"/>
    <w:tmpl w:val="A8E60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D339A9"/>
    <w:multiLevelType w:val="multilevel"/>
    <w:tmpl w:val="6CAA5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8538351">
    <w:abstractNumId w:val="7"/>
  </w:num>
  <w:num w:numId="2" w16cid:durableId="1849100393">
    <w:abstractNumId w:val="5"/>
  </w:num>
  <w:num w:numId="3" w16cid:durableId="1319770815">
    <w:abstractNumId w:val="9"/>
  </w:num>
  <w:num w:numId="4" w16cid:durableId="1221400553">
    <w:abstractNumId w:val="1"/>
  </w:num>
  <w:num w:numId="5" w16cid:durableId="714543141">
    <w:abstractNumId w:val="3"/>
  </w:num>
  <w:num w:numId="6" w16cid:durableId="417868272">
    <w:abstractNumId w:val="8"/>
  </w:num>
  <w:num w:numId="7" w16cid:durableId="315108712">
    <w:abstractNumId w:val="6"/>
  </w:num>
  <w:num w:numId="8" w16cid:durableId="1604537456">
    <w:abstractNumId w:val="4"/>
  </w:num>
  <w:num w:numId="9" w16cid:durableId="1332489950">
    <w:abstractNumId w:val="2"/>
  </w:num>
  <w:num w:numId="10" w16cid:durableId="301347851">
    <w:abstractNumId w:val="0"/>
    <w:lvlOverride w:ilvl="0">
      <w:lvl w:ilvl="0">
        <w:start w:val="1"/>
        <w:numFmt w:val="bullet"/>
        <w:lvlText w:val="%1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" w16cid:durableId="151703906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310"/>
    <w:rsid w:val="00001B21"/>
    <w:rsid w:val="000047B5"/>
    <w:rsid w:val="00005E74"/>
    <w:rsid w:val="00006CBD"/>
    <w:rsid w:val="00015BB4"/>
    <w:rsid w:val="00020570"/>
    <w:rsid w:val="00024DCD"/>
    <w:rsid w:val="00032140"/>
    <w:rsid w:val="00033BC0"/>
    <w:rsid w:val="00047D99"/>
    <w:rsid w:val="000600FC"/>
    <w:rsid w:val="00063B9E"/>
    <w:rsid w:val="00064CF3"/>
    <w:rsid w:val="00067CEB"/>
    <w:rsid w:val="00070D32"/>
    <w:rsid w:val="00076E18"/>
    <w:rsid w:val="00085F68"/>
    <w:rsid w:val="00094858"/>
    <w:rsid w:val="000A0FE2"/>
    <w:rsid w:val="000A1C81"/>
    <w:rsid w:val="000A3FBB"/>
    <w:rsid w:val="000A4F79"/>
    <w:rsid w:val="000A5188"/>
    <w:rsid w:val="000B32B3"/>
    <w:rsid w:val="000B76CC"/>
    <w:rsid w:val="000C1DBF"/>
    <w:rsid w:val="000C352D"/>
    <w:rsid w:val="000C3758"/>
    <w:rsid w:val="000C5CF1"/>
    <w:rsid w:val="000C5D0A"/>
    <w:rsid w:val="000C6015"/>
    <w:rsid w:val="000C7AA1"/>
    <w:rsid w:val="000E4CD4"/>
    <w:rsid w:val="000E6DD6"/>
    <w:rsid w:val="000F6455"/>
    <w:rsid w:val="0011454E"/>
    <w:rsid w:val="001158A0"/>
    <w:rsid w:val="001253DD"/>
    <w:rsid w:val="00142D53"/>
    <w:rsid w:val="001441FB"/>
    <w:rsid w:val="00151F79"/>
    <w:rsid w:val="00153C8F"/>
    <w:rsid w:val="00155182"/>
    <w:rsid w:val="001600BE"/>
    <w:rsid w:val="0016499A"/>
    <w:rsid w:val="00166E03"/>
    <w:rsid w:val="00174858"/>
    <w:rsid w:val="00175B92"/>
    <w:rsid w:val="00177C7F"/>
    <w:rsid w:val="0018255C"/>
    <w:rsid w:val="0018283C"/>
    <w:rsid w:val="00186C34"/>
    <w:rsid w:val="001A297A"/>
    <w:rsid w:val="001A6F1D"/>
    <w:rsid w:val="001B1FFC"/>
    <w:rsid w:val="001C6037"/>
    <w:rsid w:val="001C7CA9"/>
    <w:rsid w:val="001D248A"/>
    <w:rsid w:val="001D704A"/>
    <w:rsid w:val="001E14DA"/>
    <w:rsid w:val="001E591E"/>
    <w:rsid w:val="001F19D5"/>
    <w:rsid w:val="001F7DD5"/>
    <w:rsid w:val="002001B8"/>
    <w:rsid w:val="00205FDF"/>
    <w:rsid w:val="00211062"/>
    <w:rsid w:val="00211F7B"/>
    <w:rsid w:val="0021337D"/>
    <w:rsid w:val="002171BD"/>
    <w:rsid w:val="002204B0"/>
    <w:rsid w:val="00222657"/>
    <w:rsid w:val="0025191D"/>
    <w:rsid w:val="00253B02"/>
    <w:rsid w:val="0026046B"/>
    <w:rsid w:val="00265BFC"/>
    <w:rsid w:val="00267910"/>
    <w:rsid w:val="00267B27"/>
    <w:rsid w:val="00285AD6"/>
    <w:rsid w:val="0029056C"/>
    <w:rsid w:val="002A0AD7"/>
    <w:rsid w:val="002A184F"/>
    <w:rsid w:val="002A2BF3"/>
    <w:rsid w:val="002A544F"/>
    <w:rsid w:val="002B0681"/>
    <w:rsid w:val="002C0590"/>
    <w:rsid w:val="002C1D4C"/>
    <w:rsid w:val="002C5584"/>
    <w:rsid w:val="002C590A"/>
    <w:rsid w:val="002C7102"/>
    <w:rsid w:val="002D47C9"/>
    <w:rsid w:val="002E0EFE"/>
    <w:rsid w:val="002E392C"/>
    <w:rsid w:val="002F7935"/>
    <w:rsid w:val="00301997"/>
    <w:rsid w:val="003070F5"/>
    <w:rsid w:val="00307154"/>
    <w:rsid w:val="00317EC9"/>
    <w:rsid w:val="00320B26"/>
    <w:rsid w:val="003237D3"/>
    <w:rsid w:val="00330ABC"/>
    <w:rsid w:val="0033371B"/>
    <w:rsid w:val="00333F52"/>
    <w:rsid w:val="00345BA9"/>
    <w:rsid w:val="00350286"/>
    <w:rsid w:val="00370EA7"/>
    <w:rsid w:val="00383432"/>
    <w:rsid w:val="003934A4"/>
    <w:rsid w:val="003972AF"/>
    <w:rsid w:val="003A0966"/>
    <w:rsid w:val="003A0E05"/>
    <w:rsid w:val="003B1963"/>
    <w:rsid w:val="003B6A59"/>
    <w:rsid w:val="003C097C"/>
    <w:rsid w:val="003C7F45"/>
    <w:rsid w:val="003E1012"/>
    <w:rsid w:val="003E718D"/>
    <w:rsid w:val="003F288C"/>
    <w:rsid w:val="00404392"/>
    <w:rsid w:val="0040464E"/>
    <w:rsid w:val="00405DC4"/>
    <w:rsid w:val="00411154"/>
    <w:rsid w:val="0041493E"/>
    <w:rsid w:val="0042462C"/>
    <w:rsid w:val="00442373"/>
    <w:rsid w:val="00454322"/>
    <w:rsid w:val="0045733E"/>
    <w:rsid w:val="0047162B"/>
    <w:rsid w:val="00472C91"/>
    <w:rsid w:val="0047322C"/>
    <w:rsid w:val="00473BD8"/>
    <w:rsid w:val="00481EC2"/>
    <w:rsid w:val="00487D2B"/>
    <w:rsid w:val="0049089D"/>
    <w:rsid w:val="0049630E"/>
    <w:rsid w:val="0049797D"/>
    <w:rsid w:val="004A4233"/>
    <w:rsid w:val="004A5B05"/>
    <w:rsid w:val="004B48D7"/>
    <w:rsid w:val="004C4E7E"/>
    <w:rsid w:val="005021CA"/>
    <w:rsid w:val="00526E4A"/>
    <w:rsid w:val="005276AC"/>
    <w:rsid w:val="005309F8"/>
    <w:rsid w:val="00535676"/>
    <w:rsid w:val="0054386D"/>
    <w:rsid w:val="00546D49"/>
    <w:rsid w:val="00547B49"/>
    <w:rsid w:val="00547DC4"/>
    <w:rsid w:val="005516F8"/>
    <w:rsid w:val="00552A95"/>
    <w:rsid w:val="005530D2"/>
    <w:rsid w:val="00553614"/>
    <w:rsid w:val="00554265"/>
    <w:rsid w:val="00554BB6"/>
    <w:rsid w:val="005730FB"/>
    <w:rsid w:val="005736CA"/>
    <w:rsid w:val="00590204"/>
    <w:rsid w:val="005928AF"/>
    <w:rsid w:val="005B457C"/>
    <w:rsid w:val="005B6DF4"/>
    <w:rsid w:val="005C766C"/>
    <w:rsid w:val="005D7E9B"/>
    <w:rsid w:val="005E03FC"/>
    <w:rsid w:val="005E3A0F"/>
    <w:rsid w:val="005E66F6"/>
    <w:rsid w:val="005E7A61"/>
    <w:rsid w:val="005E7EE0"/>
    <w:rsid w:val="005F0497"/>
    <w:rsid w:val="005F1CAB"/>
    <w:rsid w:val="005F7645"/>
    <w:rsid w:val="00600F2B"/>
    <w:rsid w:val="00607BD9"/>
    <w:rsid w:val="00615A75"/>
    <w:rsid w:val="006171E4"/>
    <w:rsid w:val="006229E7"/>
    <w:rsid w:val="006246A1"/>
    <w:rsid w:val="0063023F"/>
    <w:rsid w:val="00651557"/>
    <w:rsid w:val="006522D7"/>
    <w:rsid w:val="0065513D"/>
    <w:rsid w:val="00655659"/>
    <w:rsid w:val="00656376"/>
    <w:rsid w:val="00683F5A"/>
    <w:rsid w:val="006924D2"/>
    <w:rsid w:val="006A3F97"/>
    <w:rsid w:val="006E16FE"/>
    <w:rsid w:val="006E181C"/>
    <w:rsid w:val="006F3820"/>
    <w:rsid w:val="006F4696"/>
    <w:rsid w:val="006F6DA5"/>
    <w:rsid w:val="00703FA4"/>
    <w:rsid w:val="00710B87"/>
    <w:rsid w:val="00714A78"/>
    <w:rsid w:val="007322A6"/>
    <w:rsid w:val="00743E7A"/>
    <w:rsid w:val="00744F3B"/>
    <w:rsid w:val="00753888"/>
    <w:rsid w:val="007564C2"/>
    <w:rsid w:val="00772165"/>
    <w:rsid w:val="00781B78"/>
    <w:rsid w:val="00791072"/>
    <w:rsid w:val="007A4390"/>
    <w:rsid w:val="007A50B9"/>
    <w:rsid w:val="007B3501"/>
    <w:rsid w:val="007B7460"/>
    <w:rsid w:val="007C29B6"/>
    <w:rsid w:val="007C57D7"/>
    <w:rsid w:val="007D125A"/>
    <w:rsid w:val="007D7D96"/>
    <w:rsid w:val="007F4690"/>
    <w:rsid w:val="00802048"/>
    <w:rsid w:val="00802C14"/>
    <w:rsid w:val="008079C6"/>
    <w:rsid w:val="008105FE"/>
    <w:rsid w:val="008113ED"/>
    <w:rsid w:val="0081673C"/>
    <w:rsid w:val="00826B3B"/>
    <w:rsid w:val="008341D6"/>
    <w:rsid w:val="00843D12"/>
    <w:rsid w:val="00845133"/>
    <w:rsid w:val="008505A9"/>
    <w:rsid w:val="00853921"/>
    <w:rsid w:val="00857970"/>
    <w:rsid w:val="00860104"/>
    <w:rsid w:val="00864A20"/>
    <w:rsid w:val="00872E75"/>
    <w:rsid w:val="00895333"/>
    <w:rsid w:val="008A03F3"/>
    <w:rsid w:val="008A06C8"/>
    <w:rsid w:val="008A7C37"/>
    <w:rsid w:val="008C3BB6"/>
    <w:rsid w:val="008C6ED7"/>
    <w:rsid w:val="008E3C73"/>
    <w:rsid w:val="008E4390"/>
    <w:rsid w:val="008F30E4"/>
    <w:rsid w:val="008F46A2"/>
    <w:rsid w:val="009077FF"/>
    <w:rsid w:val="00912D8A"/>
    <w:rsid w:val="009174D5"/>
    <w:rsid w:val="00927958"/>
    <w:rsid w:val="00931E18"/>
    <w:rsid w:val="00935B55"/>
    <w:rsid w:val="009430E5"/>
    <w:rsid w:val="00944125"/>
    <w:rsid w:val="0094457F"/>
    <w:rsid w:val="00954301"/>
    <w:rsid w:val="00965418"/>
    <w:rsid w:val="00971D77"/>
    <w:rsid w:val="00973142"/>
    <w:rsid w:val="0097394A"/>
    <w:rsid w:val="00975306"/>
    <w:rsid w:val="00976CF7"/>
    <w:rsid w:val="0098262F"/>
    <w:rsid w:val="00983CC7"/>
    <w:rsid w:val="00986526"/>
    <w:rsid w:val="009B0FCB"/>
    <w:rsid w:val="009C2999"/>
    <w:rsid w:val="009C44C9"/>
    <w:rsid w:val="009D2BF2"/>
    <w:rsid w:val="009D6A87"/>
    <w:rsid w:val="009E4C51"/>
    <w:rsid w:val="009E7CFC"/>
    <w:rsid w:val="009F1B2D"/>
    <w:rsid w:val="00A05F47"/>
    <w:rsid w:val="00A160EB"/>
    <w:rsid w:val="00A1644D"/>
    <w:rsid w:val="00A24283"/>
    <w:rsid w:val="00A25CE4"/>
    <w:rsid w:val="00A308E5"/>
    <w:rsid w:val="00A31ACF"/>
    <w:rsid w:val="00A34618"/>
    <w:rsid w:val="00A347EB"/>
    <w:rsid w:val="00A414CB"/>
    <w:rsid w:val="00A45CE5"/>
    <w:rsid w:val="00A47A48"/>
    <w:rsid w:val="00A562CB"/>
    <w:rsid w:val="00A60DAF"/>
    <w:rsid w:val="00A70914"/>
    <w:rsid w:val="00A770F7"/>
    <w:rsid w:val="00A80C69"/>
    <w:rsid w:val="00A8315C"/>
    <w:rsid w:val="00A94220"/>
    <w:rsid w:val="00A949BC"/>
    <w:rsid w:val="00A95F67"/>
    <w:rsid w:val="00AA5F79"/>
    <w:rsid w:val="00AB0059"/>
    <w:rsid w:val="00AB09A1"/>
    <w:rsid w:val="00AB1097"/>
    <w:rsid w:val="00AC1E20"/>
    <w:rsid w:val="00AC274D"/>
    <w:rsid w:val="00AC3609"/>
    <w:rsid w:val="00AC78A4"/>
    <w:rsid w:val="00AD5FAA"/>
    <w:rsid w:val="00AE1FEE"/>
    <w:rsid w:val="00AF1E89"/>
    <w:rsid w:val="00AF243F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512F9"/>
    <w:rsid w:val="00B650AE"/>
    <w:rsid w:val="00B80BFE"/>
    <w:rsid w:val="00B82E65"/>
    <w:rsid w:val="00B84733"/>
    <w:rsid w:val="00B85E2E"/>
    <w:rsid w:val="00B9061D"/>
    <w:rsid w:val="00BA06D9"/>
    <w:rsid w:val="00BA30AA"/>
    <w:rsid w:val="00BA5DA3"/>
    <w:rsid w:val="00BB41FD"/>
    <w:rsid w:val="00BE5C3A"/>
    <w:rsid w:val="00BF72CE"/>
    <w:rsid w:val="00C05A16"/>
    <w:rsid w:val="00C13037"/>
    <w:rsid w:val="00C15CBB"/>
    <w:rsid w:val="00C22D26"/>
    <w:rsid w:val="00C23EF6"/>
    <w:rsid w:val="00C26ADD"/>
    <w:rsid w:val="00C30E75"/>
    <w:rsid w:val="00C35765"/>
    <w:rsid w:val="00C403FD"/>
    <w:rsid w:val="00C4081D"/>
    <w:rsid w:val="00C474B6"/>
    <w:rsid w:val="00C7015A"/>
    <w:rsid w:val="00C70DE3"/>
    <w:rsid w:val="00C731F6"/>
    <w:rsid w:val="00C8457F"/>
    <w:rsid w:val="00C85555"/>
    <w:rsid w:val="00C91611"/>
    <w:rsid w:val="00C93101"/>
    <w:rsid w:val="00CB1438"/>
    <w:rsid w:val="00CB59F7"/>
    <w:rsid w:val="00CC7BCD"/>
    <w:rsid w:val="00CD4624"/>
    <w:rsid w:val="00CE1BB0"/>
    <w:rsid w:val="00CE2EA4"/>
    <w:rsid w:val="00CE4010"/>
    <w:rsid w:val="00CE4201"/>
    <w:rsid w:val="00CE42BF"/>
    <w:rsid w:val="00CF1F23"/>
    <w:rsid w:val="00CF63B0"/>
    <w:rsid w:val="00D03DAA"/>
    <w:rsid w:val="00D10872"/>
    <w:rsid w:val="00D164D1"/>
    <w:rsid w:val="00D17332"/>
    <w:rsid w:val="00D17D76"/>
    <w:rsid w:val="00D225BC"/>
    <w:rsid w:val="00D232BC"/>
    <w:rsid w:val="00D279D6"/>
    <w:rsid w:val="00D345F4"/>
    <w:rsid w:val="00D36824"/>
    <w:rsid w:val="00D52676"/>
    <w:rsid w:val="00D53F66"/>
    <w:rsid w:val="00D55C10"/>
    <w:rsid w:val="00D86181"/>
    <w:rsid w:val="00D979A4"/>
    <w:rsid w:val="00DA05DF"/>
    <w:rsid w:val="00DA69A8"/>
    <w:rsid w:val="00DA78F0"/>
    <w:rsid w:val="00DB2342"/>
    <w:rsid w:val="00DC6F40"/>
    <w:rsid w:val="00DD163C"/>
    <w:rsid w:val="00DD7D35"/>
    <w:rsid w:val="00DF04BA"/>
    <w:rsid w:val="00DF4673"/>
    <w:rsid w:val="00E077F9"/>
    <w:rsid w:val="00E10310"/>
    <w:rsid w:val="00E1486B"/>
    <w:rsid w:val="00E168B2"/>
    <w:rsid w:val="00E22B0C"/>
    <w:rsid w:val="00E26FE5"/>
    <w:rsid w:val="00E30025"/>
    <w:rsid w:val="00E316E2"/>
    <w:rsid w:val="00E34CE4"/>
    <w:rsid w:val="00E44C24"/>
    <w:rsid w:val="00E46A79"/>
    <w:rsid w:val="00E47998"/>
    <w:rsid w:val="00E60F37"/>
    <w:rsid w:val="00E6463D"/>
    <w:rsid w:val="00E72A18"/>
    <w:rsid w:val="00E76041"/>
    <w:rsid w:val="00E81192"/>
    <w:rsid w:val="00E831CF"/>
    <w:rsid w:val="00E90EB1"/>
    <w:rsid w:val="00E94734"/>
    <w:rsid w:val="00EA1516"/>
    <w:rsid w:val="00EA260F"/>
    <w:rsid w:val="00EA7250"/>
    <w:rsid w:val="00EB290B"/>
    <w:rsid w:val="00EC2B45"/>
    <w:rsid w:val="00EC2F75"/>
    <w:rsid w:val="00EC3D62"/>
    <w:rsid w:val="00EC443F"/>
    <w:rsid w:val="00ED5C43"/>
    <w:rsid w:val="00ED6934"/>
    <w:rsid w:val="00EF3BAF"/>
    <w:rsid w:val="00EF7CD5"/>
    <w:rsid w:val="00F11266"/>
    <w:rsid w:val="00F128B5"/>
    <w:rsid w:val="00F23575"/>
    <w:rsid w:val="00F329F4"/>
    <w:rsid w:val="00F32D64"/>
    <w:rsid w:val="00F40D9C"/>
    <w:rsid w:val="00F42187"/>
    <w:rsid w:val="00F42C5E"/>
    <w:rsid w:val="00F454D9"/>
    <w:rsid w:val="00F65C08"/>
    <w:rsid w:val="00F67181"/>
    <w:rsid w:val="00F67781"/>
    <w:rsid w:val="00F80D2C"/>
    <w:rsid w:val="00F866F3"/>
    <w:rsid w:val="00F86FA9"/>
    <w:rsid w:val="00F9102F"/>
    <w:rsid w:val="00FA0C80"/>
    <w:rsid w:val="00FB4009"/>
    <w:rsid w:val="00FC71E4"/>
    <w:rsid w:val="00FD0BD9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BC8437F"/>
  <w15:docId w15:val="{9F7C54AC-86E6-4707-9669-B5C0BA01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uiPriority w:val="99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character" w:styleId="Pogrubienie">
    <w:name w:val="Strong"/>
    <w:basedOn w:val="Domylnaczcionkaakapitu"/>
    <w:uiPriority w:val="22"/>
    <w:qFormat/>
    <w:rsid w:val="006229E7"/>
    <w:rPr>
      <w:b/>
      <w:bCs/>
    </w:rPr>
  </w:style>
  <w:style w:type="table" w:styleId="Tabela-Siatka">
    <w:name w:val="Table Grid"/>
    <w:basedOn w:val="Standardowy"/>
    <w:uiPriority w:val="59"/>
    <w:rsid w:val="00622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6229E7"/>
  </w:style>
  <w:style w:type="table" w:customStyle="1" w:styleId="TableGrid">
    <w:name w:val="TableGrid"/>
    <w:rsid w:val="00D8618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6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5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B37F7-C732-490E-8C11-0FFC5C7F3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15</Pages>
  <Words>4778</Words>
  <Characters>28669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31</cp:revision>
  <cp:lastPrinted>2012-02-27T14:04:00Z</cp:lastPrinted>
  <dcterms:created xsi:type="dcterms:W3CDTF">2012-08-21T11:46:00Z</dcterms:created>
  <dcterms:modified xsi:type="dcterms:W3CDTF">2025-12-07T19:37:00Z</dcterms:modified>
</cp:coreProperties>
</file>